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586AF">
      <w:pPr>
        <w:spacing w:line="70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2023年度益阳市公安局交通警察支队</w:t>
      </w:r>
    </w:p>
    <w:p w14:paraId="521A4C6F">
      <w:pPr>
        <w:spacing w:line="70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部门整体支出绩效自评报告</w:t>
      </w:r>
    </w:p>
    <w:p w14:paraId="43093349">
      <w:pPr>
        <w:pStyle w:val="2"/>
      </w:pPr>
    </w:p>
    <w:p w14:paraId="6FF7A484">
      <w:pPr>
        <w:spacing w:beforeLines="100" w:line="560" w:lineRule="exact"/>
        <w:rPr>
          <w:rFonts w:ascii="仿宋" w:hAnsi="仿宋" w:eastAsia="仿宋" w:cs="仿宋"/>
          <w:szCs w:val="32"/>
        </w:rPr>
      </w:pPr>
      <w:r>
        <w:rPr>
          <w:rFonts w:hint="eastAsia" w:ascii="仿宋" w:hAnsi="仿宋" w:eastAsia="仿宋" w:cs="仿宋"/>
          <w:szCs w:val="32"/>
        </w:rPr>
        <w:t>益阳市财政局：</w:t>
      </w:r>
    </w:p>
    <w:p w14:paraId="34EE5559">
      <w:pPr>
        <w:spacing w:line="560" w:lineRule="exact"/>
        <w:ind w:firstLine="640" w:firstLineChars="200"/>
        <w:rPr>
          <w:rFonts w:ascii="仿宋" w:hAnsi="仿宋" w:eastAsia="仿宋" w:cs="仿宋"/>
          <w:szCs w:val="32"/>
        </w:rPr>
      </w:pPr>
      <w:r>
        <w:rPr>
          <w:rFonts w:hint="eastAsia" w:ascii="仿宋" w:hAnsi="仿宋" w:eastAsia="仿宋" w:cs="仿宋"/>
          <w:szCs w:val="32"/>
        </w:rPr>
        <w:t>根据</w:t>
      </w:r>
      <w:r>
        <w:rPr>
          <w:rFonts w:hint="eastAsia"/>
          <w:color w:val="000000"/>
          <w:spacing w:val="-2"/>
          <w:szCs w:val="32"/>
        </w:rPr>
        <w:t>《中共中央国务院关于全面实施预算绩效管理的意见》（中发〔2018〕34号）</w:t>
      </w:r>
      <w:r>
        <w:rPr>
          <w:rFonts w:hint="eastAsia" w:ascii="仿宋" w:hAnsi="仿宋" w:eastAsia="仿宋" w:cs="仿宋"/>
          <w:szCs w:val="32"/>
        </w:rPr>
        <w:t>及《益阳市财政局关于开展2023年度部门绩效自评工作的通知》精神，益阳市</w:t>
      </w:r>
      <w:r>
        <w:rPr>
          <w:rFonts w:hint="eastAsia" w:ascii="仿宋" w:hAnsi="仿宋" w:eastAsia="仿宋" w:cs="宋体"/>
          <w:sz w:val="28"/>
          <w:szCs w:val="28"/>
        </w:rPr>
        <w:t>公安局交通警察支队</w:t>
      </w:r>
      <w:r>
        <w:rPr>
          <w:rFonts w:hint="eastAsia" w:ascii="仿宋" w:hAnsi="仿宋" w:eastAsia="仿宋" w:cs="仿宋"/>
          <w:szCs w:val="32"/>
        </w:rPr>
        <w:t>成立绩效评价工作组，对2023年度部门整体支出绩效情况进行了自评，具体情况报告如下：</w:t>
      </w:r>
    </w:p>
    <w:p w14:paraId="45E5B024">
      <w:pPr>
        <w:autoSpaceDE w:val="0"/>
        <w:autoSpaceDN w:val="0"/>
        <w:ind w:firstLine="562" w:firstLineChars="200"/>
        <w:rPr>
          <w:rFonts w:ascii="仿宋" w:hAnsi="仿宋" w:eastAsia="仿宋" w:cs="宋体"/>
          <w:b/>
          <w:bCs/>
          <w:sz w:val="28"/>
          <w:szCs w:val="28"/>
        </w:rPr>
      </w:pPr>
      <w:r>
        <w:rPr>
          <w:rFonts w:hint="eastAsia" w:ascii="仿宋" w:hAnsi="仿宋" w:eastAsia="仿宋" w:cs="宋体"/>
          <w:b/>
          <w:bCs/>
          <w:sz w:val="28"/>
          <w:szCs w:val="28"/>
        </w:rPr>
        <w:t>一、基本情况</w:t>
      </w:r>
    </w:p>
    <w:p w14:paraId="1B04D71E">
      <w:pPr>
        <w:ind w:firstLine="560" w:firstLineChars="200"/>
        <w:jc w:val="left"/>
        <w:rPr>
          <w:rFonts w:ascii="仿宋" w:hAnsi="仿宋" w:eastAsia="仿宋" w:cs="宋体"/>
          <w:sz w:val="28"/>
          <w:szCs w:val="28"/>
        </w:rPr>
      </w:pPr>
      <w:r>
        <w:rPr>
          <w:rFonts w:hint="eastAsia" w:ascii="仿宋" w:hAnsi="仿宋" w:eastAsia="仿宋" w:cs="宋体"/>
          <w:sz w:val="28"/>
          <w:szCs w:val="28"/>
        </w:rPr>
        <w:t>（一）部门整体概况。</w:t>
      </w:r>
    </w:p>
    <w:p w14:paraId="560ACC39">
      <w:pPr>
        <w:ind w:firstLine="562" w:firstLineChars="200"/>
        <w:jc w:val="left"/>
        <w:rPr>
          <w:rFonts w:ascii="仿宋" w:hAnsi="仿宋" w:eastAsia="仿宋" w:cs="宋体"/>
          <w:color w:val="FF0000"/>
          <w:sz w:val="28"/>
          <w:szCs w:val="28"/>
        </w:rPr>
      </w:pPr>
      <w:r>
        <w:rPr>
          <w:rFonts w:ascii="仿宋" w:hAnsi="仿宋" w:eastAsia="仿宋" w:cs="宋体"/>
          <w:b/>
          <w:sz w:val="28"/>
          <w:szCs w:val="28"/>
        </w:rPr>
        <w:t>1</w:t>
      </w:r>
      <w:r>
        <w:rPr>
          <w:rFonts w:hint="eastAsia" w:ascii="仿宋" w:hAnsi="仿宋" w:eastAsia="仿宋" w:cs="宋体"/>
          <w:b/>
          <w:sz w:val="28"/>
          <w:szCs w:val="28"/>
        </w:rPr>
        <w:t>、组织机构设置及人员情况</w:t>
      </w:r>
      <w:r>
        <w:rPr>
          <w:rFonts w:hint="eastAsia" w:ascii="仿宋" w:hAnsi="仿宋" w:eastAsia="仿宋" w:cs="宋体"/>
          <w:sz w:val="28"/>
          <w:szCs w:val="28"/>
        </w:rPr>
        <w:t>：益阳市公安局交警支队全称益阳市公安局交通警察支队（以下简称市公安交警支队），加挂“益阳市公安局公路巡逻民警支队”牌子，为副处级机构。市公安局交警支队是市公安局主管全市道路交通安全、交通秩序、机动车辆、驾驶人以及公路巡逻的职能部门。内设机构有办公室、政工科、监察室、行政财务装备科、交通秩序管理科、交通事故预防与处理科（益阳市道路交通事故社会救助基金管理办公室）、法制科、宣传教育科、交通管理指挥中心、行政审批改革科、驾驶员考务管理科、道路交通安全设施管理科、道路交通安全委员会办公室共13个；直属机构有：驾驶人管理所、车辆管理所（对外挂益阳市公安局车辆管理所的牌子）、机动车检测管理站、高新大队、资阳大队、赫山大队、特勤大队（加挂公路巡逻民警支队特警大队牌子）、科技应用大队共8个。</w:t>
      </w:r>
    </w:p>
    <w:p w14:paraId="388A9DF5">
      <w:pPr>
        <w:ind w:firstLine="560" w:firstLineChars="200"/>
        <w:jc w:val="left"/>
        <w:rPr>
          <w:rFonts w:ascii="仿宋" w:hAnsi="仿宋" w:eastAsia="仿宋" w:cs="宋体"/>
          <w:sz w:val="28"/>
          <w:szCs w:val="28"/>
        </w:rPr>
      </w:pPr>
      <w:r>
        <w:rPr>
          <w:rFonts w:hint="eastAsia" w:ascii="仿宋" w:hAnsi="仿宋" w:eastAsia="仿宋" w:cs="宋体"/>
          <w:sz w:val="28"/>
          <w:szCs w:val="28"/>
        </w:rPr>
        <w:t>交警支队机关编制3</w:t>
      </w:r>
      <w:r>
        <w:rPr>
          <w:rFonts w:hint="eastAsia" w:ascii="仿宋" w:hAnsi="仿宋" w:eastAsia="仿宋" w:cs="宋体"/>
          <w:sz w:val="28"/>
          <w:szCs w:val="28"/>
          <w:lang w:val="en-US" w:eastAsia="zh-CN"/>
        </w:rPr>
        <w:t>2</w:t>
      </w:r>
      <w:r>
        <w:rPr>
          <w:rFonts w:hint="eastAsia" w:ascii="仿宋" w:hAnsi="仿宋" w:eastAsia="仿宋" w:cs="宋体"/>
          <w:sz w:val="28"/>
          <w:szCs w:val="28"/>
        </w:rPr>
        <w:t>7人，实有人数938人，其中在职在编277人，离退休149人，辅警512人。</w:t>
      </w:r>
    </w:p>
    <w:p w14:paraId="4DB5FD52">
      <w:pPr>
        <w:ind w:firstLine="562" w:firstLineChars="200"/>
        <w:jc w:val="left"/>
        <w:rPr>
          <w:rFonts w:ascii="仿宋" w:hAnsi="仿宋" w:eastAsia="仿宋" w:cs="宋体"/>
          <w:b/>
          <w:sz w:val="24"/>
          <w:szCs w:val="24"/>
        </w:rPr>
      </w:pPr>
      <w:r>
        <w:rPr>
          <w:rFonts w:ascii="仿宋" w:hAnsi="仿宋" w:eastAsia="仿宋" w:cs="宋体"/>
          <w:b/>
          <w:sz w:val="28"/>
          <w:szCs w:val="28"/>
        </w:rPr>
        <w:t>2</w:t>
      </w:r>
      <w:r>
        <w:rPr>
          <w:rFonts w:hint="eastAsia" w:ascii="仿宋" w:hAnsi="仿宋" w:eastAsia="仿宋" w:cs="宋体"/>
          <w:b/>
          <w:sz w:val="28"/>
          <w:szCs w:val="28"/>
        </w:rPr>
        <w:t>、主要工作职能：</w:t>
      </w:r>
    </w:p>
    <w:p w14:paraId="05AB1544">
      <w:pPr>
        <w:pStyle w:val="3"/>
        <w:spacing w:before="36" w:line="229" w:lineRule="auto"/>
        <w:ind w:left="1" w:right="16" w:firstLine="649"/>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（一）负责维护交通秩序，依法制止和处罚交通违法;</w:t>
      </w:r>
    </w:p>
    <w:p w14:paraId="26E7A96B">
      <w:pPr>
        <w:pStyle w:val="3"/>
        <w:spacing w:before="39" w:line="229" w:lineRule="auto"/>
        <w:ind w:left="5" w:right="16" w:firstLine="645"/>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（二）负责全市交通安全宣传教育;</w:t>
      </w:r>
    </w:p>
    <w:p w14:paraId="61865FB6">
      <w:pPr>
        <w:pStyle w:val="3"/>
        <w:spacing w:before="39" w:line="229" w:lineRule="auto"/>
        <w:ind w:left="5" w:right="16" w:firstLine="645"/>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（三）预防和依法处理交通事故，打击各类交通肇事犯罪;</w:t>
      </w:r>
    </w:p>
    <w:p w14:paraId="4A0B2761">
      <w:pPr>
        <w:pStyle w:val="3"/>
        <w:spacing w:before="241" w:line="161" w:lineRule="exact"/>
        <w:ind w:left="32"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（四）负责全市机动车辆和驾驶人的管理;</w:t>
      </w:r>
    </w:p>
    <w:p w14:paraId="6123CDA5">
      <w:pPr>
        <w:pStyle w:val="3"/>
        <w:spacing w:before="50" w:line="233" w:lineRule="auto"/>
        <w:ind w:left="1" w:firstLine="649"/>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（五）负责组织实施各类交通警保卫工作和任务;</w:t>
      </w:r>
    </w:p>
    <w:p w14:paraId="30C57335">
      <w:pPr>
        <w:pStyle w:val="3"/>
        <w:spacing w:before="35" w:line="229" w:lineRule="auto"/>
        <w:ind w:left="2" w:right="12" w:firstLine="648"/>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（六）实施道路交通管理规划，负责道路施工、危险品运输许可及大型建设项目的交通影响评价，“两客一危一校”重点车辆及驾驶人安全监管;</w:t>
      </w:r>
    </w:p>
    <w:p w14:paraId="1287574E">
      <w:pPr>
        <w:pStyle w:val="3"/>
        <w:spacing w:before="42" w:line="235" w:lineRule="auto"/>
        <w:ind w:firstLine="65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（七）设计和有关事项的审核、把关；</w:t>
      </w:r>
    </w:p>
    <w:p w14:paraId="5CD22FB6">
      <w:pPr>
        <w:pStyle w:val="3"/>
        <w:spacing w:before="42" w:line="235" w:lineRule="auto"/>
        <w:ind w:firstLine="560" w:firstLineChars="200"/>
        <w:rPr>
          <w:sz w:val="32"/>
          <w:szCs w:val="32"/>
        </w:rPr>
      </w:pPr>
      <w:r>
        <w:rPr>
          <w:rFonts w:hint="eastAsia" w:ascii="仿宋" w:hAnsi="仿宋" w:eastAsia="仿宋" w:cs="宋体"/>
          <w:kern w:val="2"/>
          <w:sz w:val="28"/>
          <w:szCs w:val="28"/>
          <w:lang w:val="en-US" w:eastAsia="zh-CN" w:bidi="ar-SA"/>
        </w:rPr>
        <w:t>（八）负责道路交通安全设施的管理和维护</w:t>
      </w:r>
      <w:r>
        <w:rPr>
          <w:rFonts w:hint="eastAsia"/>
          <w:spacing w:val="-2"/>
          <w:sz w:val="32"/>
          <w:szCs w:val="32"/>
        </w:rPr>
        <w:t>。</w:t>
      </w:r>
    </w:p>
    <w:p w14:paraId="093AD330">
      <w:pPr>
        <w:ind w:firstLine="562" w:firstLineChars="200"/>
        <w:jc w:val="left"/>
        <w:rPr>
          <w:rFonts w:ascii="仿宋" w:hAnsi="仿宋" w:eastAsia="仿宋" w:cs="仿宋"/>
          <w:sz w:val="28"/>
          <w:szCs w:val="28"/>
        </w:rPr>
      </w:pPr>
      <w:r>
        <w:rPr>
          <w:rFonts w:ascii="仿宋" w:hAnsi="仿宋" w:eastAsia="仿宋" w:cs="宋体"/>
          <w:b/>
          <w:sz w:val="28"/>
          <w:szCs w:val="28"/>
        </w:rPr>
        <w:t>3</w:t>
      </w:r>
      <w:r>
        <w:rPr>
          <w:rFonts w:hint="eastAsia" w:ascii="仿宋" w:hAnsi="仿宋" w:eastAsia="仿宋" w:cs="宋体"/>
          <w:b/>
          <w:sz w:val="28"/>
          <w:szCs w:val="28"/>
        </w:rPr>
        <w:t>、2023年整体支出预算绩效目标</w:t>
      </w:r>
    </w:p>
    <w:p w14:paraId="3F8D6EFE">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（1）重点工作目标建设</w:t>
      </w:r>
    </w:p>
    <w:p w14:paraId="61A1FAF6">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①开展互联网综合服务平台建设。</w:t>
      </w:r>
    </w:p>
    <w:p w14:paraId="14084ECB">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②开展违法监管系统建设。</w:t>
      </w:r>
    </w:p>
    <w:p w14:paraId="1BD5D09C">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③确保信息系统安全。</w:t>
      </w:r>
    </w:p>
    <w:p w14:paraId="410CD30C">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④开展新闻宣传阵地建设。</w:t>
      </w:r>
    </w:p>
    <w:p w14:paraId="306F6654">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⑤开发道路交通事故一路通系统，推进事故快处快赔工作。</w:t>
      </w:r>
    </w:p>
    <w:p w14:paraId="54CAF2EA">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⑥开展执法问题专项整治及执法质量巡查。</w:t>
      </w:r>
    </w:p>
    <w:p w14:paraId="6BB9557D">
      <w:pPr>
        <w:autoSpaceDE w:val="0"/>
        <w:autoSpaceDN w:val="0"/>
        <w:ind w:firstLine="560" w:firstLineChars="200"/>
        <w:rPr>
          <w:rFonts w:ascii="仿宋" w:hAnsi="仿宋" w:eastAsia="仿宋" w:cs="仿宋"/>
          <w:sz w:val="28"/>
          <w:szCs w:val="28"/>
        </w:rPr>
      </w:pPr>
      <w:r>
        <w:rPr>
          <w:rFonts w:hint="eastAsia" w:ascii="仿宋" w:hAnsi="仿宋" w:eastAsia="仿宋" w:cs="仿宋"/>
          <w:sz w:val="28"/>
          <w:szCs w:val="28"/>
        </w:rPr>
        <w:t>⑦加强涉案财物规范管理及信息公开、行政处罚决定书公开工作。</w:t>
      </w:r>
    </w:p>
    <w:p w14:paraId="739C701A">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⑧开展教育训练实战专题比武、业务技能比武。</w:t>
      </w:r>
    </w:p>
    <w:p w14:paraId="4FE7313A">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⑨加强政治建警，创新队伍建设与管理，创建各种优秀团队，树立一批先进典型。</w:t>
      </w:r>
    </w:p>
    <w:p w14:paraId="41348DD5">
      <w:pPr>
        <w:tabs>
          <w:tab w:val="left" w:pos="284"/>
        </w:tabs>
        <w:ind w:firstLine="560" w:firstLineChars="200"/>
        <w:rPr>
          <w:rFonts w:ascii="Cambria Math" w:hAnsi="Cambria Math" w:eastAsia="仿宋" w:cs="Cambria Math"/>
          <w:sz w:val="28"/>
          <w:szCs w:val="28"/>
        </w:rPr>
      </w:pPr>
      <w:r>
        <w:rPr>
          <w:rFonts w:hint="eastAsia" w:ascii="仿宋" w:hAnsi="仿宋" w:eastAsia="仿宋" w:cs="仿宋"/>
          <w:sz w:val="28"/>
          <w:szCs w:val="28"/>
        </w:rPr>
        <w:t>⑩加强会计人员配备及培训工作</w:t>
      </w:r>
      <w:r>
        <w:rPr>
          <w:rFonts w:hint="eastAsia" w:ascii="仿宋" w:hAnsi="仿宋" w:eastAsia="仿宋" w:cs="仿宋"/>
          <w:sz w:val="28"/>
          <w:szCs w:val="28"/>
          <w:lang w:eastAsia="zh-CN"/>
        </w:rPr>
        <w:t>，</w:t>
      </w:r>
      <w:r>
        <w:rPr>
          <w:rFonts w:hint="eastAsia" w:ascii="仿宋" w:hAnsi="仿宋" w:eastAsia="仿宋" w:cs="仿宋"/>
          <w:sz w:val="28"/>
          <w:szCs w:val="28"/>
        </w:rPr>
        <w:t>完善财务管理制度，健全内部控制制度。</w:t>
      </w:r>
    </w:p>
    <w:p w14:paraId="1AB062D5">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（2）履职情况目标建设</w:t>
      </w:r>
    </w:p>
    <w:p w14:paraId="06C320C3">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①及时疏导堵点交通，城区5分钟、郊区10分钟赶到现场。.</w:t>
      </w:r>
    </w:p>
    <w:p w14:paraId="19052670">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②</w:t>
      </w:r>
      <w:r>
        <w:rPr>
          <w:rFonts w:hint="eastAsia"/>
          <w:sz w:val="28"/>
        </w:rPr>
        <w:t>排</w:t>
      </w:r>
      <w:r>
        <w:rPr>
          <w:rFonts w:hint="eastAsia" w:ascii="仿宋" w:hAnsi="仿宋" w:eastAsia="仿宋" w:cs="仿宋"/>
          <w:sz w:val="28"/>
          <w:szCs w:val="28"/>
        </w:rPr>
        <w:t>查道路安全隐患8515处，截止12月31日，已完成整治 4189 处，保道路畅通有序，护人民生命财产安全。</w:t>
      </w:r>
    </w:p>
    <w:p w14:paraId="04C800D3">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③</w:t>
      </w:r>
      <w:r>
        <w:rPr>
          <w:rFonts w:hint="eastAsia"/>
          <w:sz w:val="28"/>
        </w:rPr>
        <w:t>全市查处道路交通违法202.88万起，现场查处75.08 万起，其中酒驾醉驾9045 起，不戴头盔 37.9 万起，不系安全带27.2万起</w:t>
      </w:r>
      <w:r>
        <w:rPr>
          <w:rFonts w:hint="eastAsia" w:ascii="仿宋" w:hAnsi="仿宋" w:eastAsia="仿宋" w:cs="仿宋"/>
          <w:sz w:val="28"/>
          <w:szCs w:val="28"/>
        </w:rPr>
        <w:t xml:space="preserve">。     </w:t>
      </w:r>
    </w:p>
    <w:p w14:paraId="6A35E5C5">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④</w:t>
      </w:r>
      <w:r>
        <w:rPr>
          <w:rFonts w:hint="eastAsia"/>
          <w:sz w:val="28"/>
        </w:rPr>
        <w:t>重点车辆检验率、报废率、违法处理率全部达到100%，重点驾驶人审验率、换证率分别达到97.58%、99.53%。</w:t>
      </w:r>
    </w:p>
    <w:p w14:paraId="613CB39B">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⑤各项规费、罚没收入及时上缴财政。各项收入应收尽收完成率达到100%。</w:t>
      </w:r>
    </w:p>
    <w:p w14:paraId="14B7AB8D">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（3）控制各项支出比例及进度目标建设。</w:t>
      </w:r>
    </w:p>
    <w:p w14:paraId="7747CF7A">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①三公经费增减率控制在-10%以上;</w:t>
      </w:r>
    </w:p>
    <w:p w14:paraId="473CD537">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②部门整体支出支付进度:基本支出按月付款，项目支出10月底完成80%;</w:t>
      </w:r>
    </w:p>
    <w:p w14:paraId="5A3EDC1A">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③部门预决算和三公经费预决算定期外网公开</w:t>
      </w:r>
      <w:r>
        <w:rPr>
          <w:rFonts w:hint="eastAsia" w:ascii="仿宋" w:hAnsi="仿宋" w:eastAsia="仿宋" w:cs="仿宋"/>
          <w:sz w:val="28"/>
          <w:szCs w:val="28"/>
          <w:lang w:eastAsia="zh-CN"/>
        </w:rPr>
        <w:t>，</w:t>
      </w:r>
      <w:r>
        <w:rPr>
          <w:rFonts w:hint="eastAsia" w:ascii="仿宋" w:hAnsi="仿宋" w:eastAsia="仿宋" w:cs="仿宋"/>
          <w:sz w:val="28"/>
          <w:szCs w:val="28"/>
        </w:rPr>
        <w:t>透明度100%;</w:t>
      </w:r>
    </w:p>
    <w:p w14:paraId="7E338336">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④政府采购执行率：100%;</w:t>
      </w:r>
    </w:p>
    <w:p w14:paraId="7E756C47">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⑤重点工作办结率：100%;</w:t>
      </w:r>
    </w:p>
    <w:p w14:paraId="33F19B40">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⑥交通事故结案率:90%;</w:t>
      </w:r>
    </w:p>
    <w:p w14:paraId="573A75FC">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⑦车驾管业务窗口“一站式”服务，群众满意度100%;</w:t>
      </w:r>
    </w:p>
    <w:p w14:paraId="0E50B2AA">
      <w:pPr>
        <w:tabs>
          <w:tab w:val="right" w:pos="7663"/>
        </w:tabs>
        <w:autoSpaceDE w:val="0"/>
        <w:autoSpaceDN w:val="0"/>
        <w:ind w:firstLine="643" w:firstLineChars="200"/>
        <w:rPr>
          <w:rFonts w:ascii="仿宋" w:hAnsi="仿宋" w:eastAsia="仿宋" w:cs="宋体"/>
          <w:b/>
          <w:bCs/>
          <w:szCs w:val="32"/>
        </w:rPr>
      </w:pPr>
      <w:r>
        <w:rPr>
          <w:rFonts w:hint="eastAsia" w:ascii="仿宋" w:hAnsi="仿宋" w:eastAsia="仿宋" w:cs="宋体"/>
          <w:b/>
          <w:bCs/>
          <w:szCs w:val="32"/>
        </w:rPr>
        <w:t>二</w:t>
      </w:r>
      <w:r>
        <w:rPr>
          <w:rFonts w:hint="eastAsia" w:ascii="仿宋" w:hAnsi="仿宋" w:eastAsia="仿宋" w:cs="宋体"/>
          <w:b/>
          <w:bCs/>
          <w:sz w:val="28"/>
          <w:szCs w:val="28"/>
        </w:rPr>
        <w:t>、部门决算情况</w:t>
      </w:r>
      <w:r>
        <w:rPr>
          <w:rFonts w:hint="eastAsia" w:ascii="仿宋" w:hAnsi="仿宋" w:eastAsia="仿宋" w:cs="宋体"/>
          <w:b/>
          <w:bCs/>
          <w:szCs w:val="32"/>
        </w:rPr>
        <w:t>。</w:t>
      </w:r>
      <w:r>
        <w:rPr>
          <w:rFonts w:hint="eastAsia" w:ascii="仿宋" w:hAnsi="仿宋" w:eastAsia="仿宋" w:cs="宋体"/>
          <w:b/>
          <w:bCs/>
          <w:szCs w:val="32"/>
        </w:rPr>
        <w:tab/>
      </w:r>
    </w:p>
    <w:p w14:paraId="0D4A11B6">
      <w:pPr>
        <w:pStyle w:val="6"/>
        <w:shd w:val="clear" w:color="auto" w:fill="FFFFFF"/>
        <w:spacing w:before="0" w:beforeAutospacing="0" w:after="0" w:afterAutospacing="0"/>
        <w:ind w:firstLine="560" w:firstLineChars="200"/>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2023年部门整体决算总收入16463.95万元，其中一般公共预算财政拨款收入16354.72万元，其他收入109.23万元。</w:t>
      </w:r>
    </w:p>
    <w:p w14:paraId="2479F858">
      <w:pPr>
        <w:pStyle w:val="6"/>
        <w:shd w:val="clear" w:color="auto" w:fill="FFFFFF"/>
        <w:spacing w:before="0" w:beforeAutospacing="0" w:after="0" w:afterAutospacing="0"/>
        <w:ind w:firstLine="560" w:firstLineChars="200"/>
        <w:jc w:val="both"/>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2023年部门整体决算总支出16463.95万元，其中基本支出11002.63万元，占部门总支出的66.83%；项目支出5461.32万元，占部门总支出的33.17%。具体情况如下：</w:t>
      </w:r>
    </w:p>
    <w:p w14:paraId="74121ECC">
      <w:pPr>
        <w:pStyle w:val="6"/>
        <w:numPr>
          <w:ilvl w:val="0"/>
          <w:numId w:val="1"/>
        </w:numPr>
        <w:shd w:val="clear" w:color="auto" w:fill="FFFFFF"/>
        <w:spacing w:before="0" w:beforeAutospacing="0" w:after="0" w:afterAutospacing="0"/>
        <w:ind w:firstLine="562" w:firstLineChars="200"/>
        <w:jc w:val="both"/>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基本支出情况</w:t>
      </w:r>
    </w:p>
    <w:p w14:paraId="01F174D9">
      <w:pPr>
        <w:pStyle w:val="6"/>
        <w:shd w:val="clear" w:color="auto" w:fill="FFFFFF"/>
        <w:spacing w:before="0" w:beforeAutospacing="0" w:after="0" w:afterAutospacing="0"/>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2023年度基本支出11002.63万元，其中：人员经费9176.54万元，占基本支出的83.4%。公用经费1826.09万元，占基本支出的16.6%。</w:t>
      </w:r>
    </w:p>
    <w:p w14:paraId="72BB15EB">
      <w:pPr>
        <w:pStyle w:val="6"/>
        <w:shd w:val="clear" w:color="auto" w:fill="FFFFFF"/>
        <w:spacing w:before="0" w:beforeAutospacing="0" w:after="0" w:afterAutospacing="0"/>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1、人员经费具体支出情况：</w:t>
      </w:r>
      <w:r>
        <w:rPr>
          <w:rFonts w:ascii="Calibri" w:hAnsi="Calibri" w:eastAsia="仿宋" w:cs="Calibri"/>
          <w:shd w:val="clear" w:color="auto" w:fill="FFFFFF"/>
        </w:rPr>
        <w:t>①</w:t>
      </w:r>
      <w:r>
        <w:rPr>
          <w:rFonts w:hint="eastAsia" w:ascii="仿宋" w:hAnsi="仿宋" w:eastAsia="仿宋" w:cs="仿宋"/>
          <w:sz w:val="28"/>
          <w:szCs w:val="28"/>
          <w:shd w:val="clear" w:color="auto" w:fill="FFFFFF"/>
        </w:rPr>
        <w:t>工资福利支出8605.48万元，占人员经费的93.78%。其中：基本工资1418.59万元，占人员经费支出的15.46%、占工资福利支出的16.48%；津贴补贴1828.24万元，占人员经费支出的19.92%、占工资福利支出的21.25%；奖金1093.94万元，占人员经费支出的11.92%、占工资福利支出的12.71%；机关事业单位基本养老缴费503.36万元，占人员经费支出的5.48%、占工资福利支出的5.85%；职业年金缴费18.76万元，占人员经费支出的0.2%、占工资福利支出的0.22%；职工基本医疗保险缴费392.85万元，占人员经费支出的4.28%、占工资福利支出的4.56%；公务员医疗补助缴费205.92万元，占人员经费支出的2.24%、占工资福利支出的2.39%；其他社会保障缴费1.7万元，占人员经费支出的0.018%、占工资福利支出的0.02%；住房公积金缴费620.43万元，占人员经费支出的6.76%、占工资福利支出的7.21%；其他工资福利支出2521.69万元，占人员经费支出的27.48%、占工资福利支出的29.3%。</w:t>
      </w:r>
      <w:r>
        <w:rPr>
          <w:rFonts w:ascii="Calibri" w:hAnsi="Calibri" w:eastAsia="仿宋" w:cs="Calibri"/>
          <w:shd w:val="clear" w:color="auto" w:fill="FFFFFF"/>
        </w:rPr>
        <w:t>②</w:t>
      </w:r>
      <w:r>
        <w:rPr>
          <w:rFonts w:hint="eastAsia" w:ascii="仿宋" w:hAnsi="仿宋" w:eastAsia="仿宋" w:cs="仿宋"/>
          <w:sz w:val="28"/>
          <w:szCs w:val="28"/>
          <w:shd w:val="clear" w:color="auto" w:fill="FFFFFF"/>
        </w:rPr>
        <w:t>对个人和家庭的补助571.06万元，占人员经费支出的6.22%。其中：离休费</w:t>
      </w:r>
      <w:r>
        <w:rPr>
          <w:rFonts w:ascii="仿宋" w:hAnsi="仿宋" w:eastAsia="仿宋" w:cs="仿宋"/>
          <w:sz w:val="28"/>
          <w:szCs w:val="28"/>
          <w:shd w:val="clear" w:color="auto" w:fill="FFFFFF"/>
        </w:rPr>
        <w:t>14.37</w:t>
      </w:r>
      <w:r>
        <w:rPr>
          <w:rFonts w:hint="eastAsia" w:ascii="仿宋" w:hAnsi="仿宋" w:eastAsia="仿宋" w:cs="仿宋"/>
          <w:sz w:val="28"/>
          <w:szCs w:val="28"/>
          <w:shd w:val="clear" w:color="auto" w:fill="FFFFFF"/>
        </w:rPr>
        <w:t>万元，占人员经费支出的0.</w:t>
      </w:r>
      <w:r>
        <w:rPr>
          <w:rFonts w:ascii="仿宋" w:hAnsi="仿宋" w:eastAsia="仿宋" w:cs="仿宋"/>
          <w:sz w:val="28"/>
          <w:szCs w:val="28"/>
          <w:shd w:val="clear" w:color="auto" w:fill="FFFFFF"/>
        </w:rPr>
        <w:t>15</w:t>
      </w:r>
      <w:r>
        <w:rPr>
          <w:rFonts w:hint="eastAsia" w:ascii="仿宋" w:hAnsi="仿宋" w:eastAsia="仿宋" w:cs="仿宋"/>
          <w:sz w:val="28"/>
          <w:szCs w:val="28"/>
          <w:shd w:val="clear" w:color="auto" w:fill="FFFFFF"/>
        </w:rPr>
        <w:t>%、占对个人和家庭的补助的2</w:t>
      </w:r>
      <w:r>
        <w:rPr>
          <w:rFonts w:ascii="仿宋" w:hAnsi="仿宋" w:eastAsia="仿宋" w:cs="仿宋"/>
          <w:sz w:val="28"/>
          <w:szCs w:val="28"/>
          <w:shd w:val="clear" w:color="auto" w:fill="FFFFFF"/>
        </w:rPr>
        <w:t>.52</w:t>
      </w:r>
      <w:r>
        <w:rPr>
          <w:rFonts w:hint="eastAsia" w:ascii="仿宋" w:hAnsi="仿宋" w:eastAsia="仿宋" w:cs="仿宋"/>
          <w:sz w:val="28"/>
          <w:szCs w:val="28"/>
          <w:shd w:val="clear" w:color="auto" w:fill="FFFFFF"/>
        </w:rPr>
        <w:t>%；退休费4</w:t>
      </w:r>
      <w:r>
        <w:rPr>
          <w:rFonts w:ascii="仿宋" w:hAnsi="仿宋" w:eastAsia="仿宋" w:cs="仿宋"/>
          <w:sz w:val="28"/>
          <w:szCs w:val="28"/>
          <w:shd w:val="clear" w:color="auto" w:fill="FFFFFF"/>
        </w:rPr>
        <w:t>09.49</w:t>
      </w:r>
      <w:r>
        <w:rPr>
          <w:rFonts w:hint="eastAsia" w:ascii="仿宋" w:hAnsi="仿宋" w:eastAsia="仿宋" w:cs="仿宋"/>
          <w:sz w:val="28"/>
          <w:szCs w:val="28"/>
          <w:shd w:val="clear" w:color="auto" w:fill="FFFFFF"/>
        </w:rPr>
        <w:t>万元，占人员经费支出的</w:t>
      </w:r>
      <w:r>
        <w:rPr>
          <w:rFonts w:ascii="仿宋" w:hAnsi="仿宋" w:eastAsia="仿宋" w:cs="仿宋"/>
          <w:sz w:val="28"/>
          <w:szCs w:val="28"/>
          <w:shd w:val="clear" w:color="auto" w:fill="FFFFFF"/>
        </w:rPr>
        <w:t>4.46</w:t>
      </w:r>
      <w:r>
        <w:rPr>
          <w:rFonts w:hint="eastAsia" w:ascii="仿宋" w:hAnsi="仿宋" w:eastAsia="仿宋" w:cs="仿宋"/>
          <w:sz w:val="28"/>
          <w:szCs w:val="28"/>
          <w:shd w:val="clear" w:color="auto" w:fill="FFFFFF"/>
        </w:rPr>
        <w:t>%、占对个人和家庭的补助的7</w:t>
      </w:r>
      <w:r>
        <w:rPr>
          <w:rFonts w:ascii="仿宋" w:hAnsi="仿宋" w:eastAsia="仿宋" w:cs="仿宋"/>
          <w:sz w:val="28"/>
          <w:szCs w:val="28"/>
          <w:shd w:val="clear" w:color="auto" w:fill="FFFFFF"/>
        </w:rPr>
        <w:t>1.71</w:t>
      </w:r>
      <w:r>
        <w:rPr>
          <w:rFonts w:hint="eastAsia" w:ascii="仿宋" w:hAnsi="仿宋" w:eastAsia="仿宋" w:cs="仿宋"/>
          <w:sz w:val="28"/>
          <w:szCs w:val="28"/>
          <w:shd w:val="clear" w:color="auto" w:fill="FFFFFF"/>
        </w:rPr>
        <w:t>%；抚恤金1</w:t>
      </w:r>
      <w:r>
        <w:rPr>
          <w:rFonts w:ascii="仿宋" w:hAnsi="仿宋" w:eastAsia="仿宋" w:cs="仿宋"/>
          <w:sz w:val="28"/>
          <w:szCs w:val="28"/>
          <w:shd w:val="clear" w:color="auto" w:fill="FFFFFF"/>
        </w:rPr>
        <w:t>45.3</w:t>
      </w:r>
      <w:r>
        <w:rPr>
          <w:rFonts w:hint="eastAsia" w:ascii="仿宋" w:hAnsi="仿宋" w:eastAsia="仿宋" w:cs="仿宋"/>
          <w:sz w:val="28"/>
          <w:szCs w:val="28"/>
          <w:shd w:val="clear" w:color="auto" w:fill="FFFFFF"/>
        </w:rPr>
        <w:t>万元，占人员经费支出的1</w:t>
      </w:r>
      <w:r>
        <w:rPr>
          <w:rFonts w:ascii="仿宋" w:hAnsi="仿宋" w:eastAsia="仿宋" w:cs="仿宋"/>
          <w:sz w:val="28"/>
          <w:szCs w:val="28"/>
          <w:shd w:val="clear" w:color="auto" w:fill="FFFFFF"/>
        </w:rPr>
        <w:t>.58</w:t>
      </w:r>
      <w:r>
        <w:rPr>
          <w:rFonts w:hint="eastAsia" w:ascii="仿宋" w:hAnsi="仿宋" w:eastAsia="仿宋" w:cs="仿宋"/>
          <w:sz w:val="28"/>
          <w:szCs w:val="28"/>
          <w:shd w:val="clear" w:color="auto" w:fill="FFFFFF"/>
        </w:rPr>
        <w:t>%、占对个人和家庭的补助的2</w:t>
      </w:r>
      <w:r>
        <w:rPr>
          <w:rFonts w:ascii="仿宋" w:hAnsi="仿宋" w:eastAsia="仿宋" w:cs="仿宋"/>
          <w:sz w:val="28"/>
          <w:szCs w:val="28"/>
          <w:shd w:val="clear" w:color="auto" w:fill="FFFFFF"/>
        </w:rPr>
        <w:t>5.44</w:t>
      </w:r>
      <w:r>
        <w:rPr>
          <w:rFonts w:hint="eastAsia" w:ascii="仿宋" w:hAnsi="仿宋" w:eastAsia="仿宋" w:cs="仿宋"/>
          <w:sz w:val="28"/>
          <w:szCs w:val="28"/>
          <w:shd w:val="clear" w:color="auto" w:fill="FFFFFF"/>
        </w:rPr>
        <w:t>%；生活补助1.</w:t>
      </w:r>
      <w:r>
        <w:rPr>
          <w:rFonts w:ascii="仿宋" w:hAnsi="仿宋" w:eastAsia="仿宋" w:cs="仿宋"/>
          <w:sz w:val="28"/>
          <w:szCs w:val="28"/>
          <w:shd w:val="clear" w:color="auto" w:fill="FFFFFF"/>
        </w:rPr>
        <w:t>9</w:t>
      </w:r>
      <w:r>
        <w:rPr>
          <w:rFonts w:hint="eastAsia" w:ascii="仿宋" w:hAnsi="仿宋" w:eastAsia="仿宋" w:cs="仿宋"/>
          <w:sz w:val="28"/>
          <w:szCs w:val="28"/>
          <w:shd w:val="clear" w:color="auto" w:fill="FFFFFF"/>
        </w:rPr>
        <w:t>元，占人员经费支出的0.02%、占对个人和家庭的补助的0.3</w:t>
      </w:r>
      <w:r>
        <w:rPr>
          <w:rFonts w:ascii="仿宋" w:hAnsi="仿宋" w:eastAsia="仿宋" w:cs="仿宋"/>
          <w:sz w:val="28"/>
          <w:szCs w:val="28"/>
          <w:shd w:val="clear" w:color="auto" w:fill="FFFFFF"/>
        </w:rPr>
        <w:t>3</w:t>
      </w:r>
      <w:r>
        <w:rPr>
          <w:rFonts w:hint="eastAsia" w:ascii="仿宋" w:hAnsi="仿宋" w:eastAsia="仿宋" w:cs="仿宋"/>
          <w:sz w:val="28"/>
          <w:szCs w:val="28"/>
          <w:shd w:val="clear" w:color="auto" w:fill="FFFFFF"/>
        </w:rPr>
        <w:t>%。</w:t>
      </w:r>
    </w:p>
    <w:p w14:paraId="74AD36AA">
      <w:pPr>
        <w:pStyle w:val="6"/>
        <w:shd w:val="clear" w:color="auto" w:fill="FFFFFF"/>
        <w:spacing w:before="0" w:beforeAutospacing="0" w:after="0" w:afterAutospacing="0"/>
        <w:ind w:firstLine="560" w:firstLineChars="200"/>
        <w:rPr>
          <w:rFonts w:ascii="仿宋" w:hAnsi="仿宋" w:eastAsia="仿宋" w:cs="仿宋"/>
          <w:sz w:val="28"/>
          <w:szCs w:val="28"/>
        </w:rPr>
      </w:pPr>
      <w:r>
        <w:rPr>
          <w:rFonts w:hint="eastAsia" w:ascii="仿宋" w:hAnsi="仿宋" w:eastAsia="仿宋" w:cs="仿宋"/>
          <w:sz w:val="28"/>
          <w:szCs w:val="28"/>
          <w:shd w:val="clear" w:color="auto" w:fill="FFFFFF"/>
        </w:rPr>
        <w:t>2、公用经费支出情况：</w:t>
      </w:r>
      <w:r>
        <w:rPr>
          <w:rFonts w:ascii="Calibri" w:hAnsi="Calibri" w:eastAsia="仿宋" w:cs="Calibri"/>
          <w:shd w:val="clear" w:color="auto" w:fill="FFFFFF"/>
        </w:rPr>
        <w:t>①</w:t>
      </w:r>
      <w:r>
        <w:rPr>
          <w:rFonts w:hint="eastAsia" w:ascii="仿宋" w:hAnsi="仿宋" w:eastAsia="仿宋" w:cs="仿宋"/>
          <w:sz w:val="28"/>
          <w:szCs w:val="28"/>
          <w:shd w:val="clear" w:color="auto" w:fill="FFFFFF"/>
        </w:rPr>
        <w:t>商品和服务支出1809.66万元，占公用经费的99.1%。其中办公费83.78万元，占公用经费支出的4.59%</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占商品和服务支出支出的4.63%；印刷费22.96万元，占公用经费支出的1.26%</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占商品和服务支出的1.27%；咨询费30.5万元，占公用经费支出的1.67%</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占商品和服务支出的1.69%；水费7.54万元，占公用经费支出的0.41%</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占商品和服务支出的0.42%；电费106.28万元，占公用经费支出的5.82%，占商品和服务支出的5.87%；邮电费49.24万元，占公用经费支出的2.7%</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占商品和服务支出的2.72%；物业管理费19.33万元，占公用经费支出的1.06%，占商品和服务支出的1.07%；差旅费14.67万元，占公用经费支出的0.8%</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占商品和服务支出的0.81%；维修（护）费7.57万元，占公用经费支出的0.41%</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占商品和服务支出的0.42%；租赁费205.29万元，占公用经费支出的11.24%</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11.34%，会议费1.47万元，占公用经费支出的0.08%</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占商品和服务支出的0.08%；公务接待费1.09万元，占公用经费支出的0.06%</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占商品和服务支出的0.06%；被装购置费0.69万元，占公用经费支出的0.04%</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占商品和服务支出的0.04%；劳务费16.65万元，占公用经费支出的0.91%</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占商品和服务支出的0.92%；工会经费121.36万元，占公用经费支出的6.65%</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占商品和服务支出的6.71%；福利费178.6万元，占公用经费支出的9.78%</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占商品和服务支出的9.87%；公务用车运行维护费41.18万元，占公用经费支出的2.26%</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占商品和服务支出的2.28%；其他交通费用0.7万元，占公用经费支出的0.04%</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占商品和服务支出的0.04%；其他商品和服务支出900.75万元，占公用经费支出的49.33%</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占商品和服务支出的49.77%。</w:t>
      </w:r>
      <w:r>
        <w:rPr>
          <w:rFonts w:ascii="Calibri" w:hAnsi="Calibri" w:eastAsia="仿宋" w:cs="Calibri"/>
          <w:shd w:val="clear" w:color="auto" w:fill="FFFFFF"/>
        </w:rPr>
        <w:t>②</w:t>
      </w:r>
      <w:r>
        <w:rPr>
          <w:rFonts w:hint="eastAsia" w:ascii="仿宋" w:hAnsi="仿宋" w:eastAsia="仿宋" w:cs="仿宋"/>
          <w:sz w:val="28"/>
          <w:szCs w:val="28"/>
          <w:shd w:val="clear" w:color="auto" w:fill="FFFFFF"/>
        </w:rPr>
        <w:t>资本性支出16.43万元，占公用经费支出的0.9%。其中办公设备购置7.36万元，占公用经费支出的0.4%</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占资本性支出的0.44%；专用设备购置1.41万元，占公用经费支出的0.08%</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占资本性支出的8.58%；公用车购置7.67万元，占公用经费支出的0.42%</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占资本性支出的46.62%。</w:t>
      </w:r>
    </w:p>
    <w:p w14:paraId="6B143CE9">
      <w:pPr>
        <w:topLinePunct/>
        <w:ind w:firstLine="562" w:firstLineChars="200"/>
        <w:rPr>
          <w:rFonts w:ascii="仿宋" w:hAnsi="仿宋" w:eastAsia="仿宋" w:cstheme="minorEastAsia"/>
          <w:b/>
          <w:sz w:val="28"/>
          <w:szCs w:val="28"/>
          <w:lang w:val="zh-CN"/>
        </w:rPr>
      </w:pPr>
      <w:r>
        <w:rPr>
          <w:rFonts w:hint="eastAsia" w:ascii="仿宋" w:hAnsi="仿宋" w:eastAsia="仿宋" w:cstheme="minorEastAsia"/>
          <w:b/>
          <w:sz w:val="28"/>
          <w:szCs w:val="28"/>
          <w:lang w:val="zh-CN"/>
        </w:rPr>
        <w:t>（二）部门“三公”经费使用管理情况。</w:t>
      </w:r>
    </w:p>
    <w:p w14:paraId="3341E8F0">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1、202</w:t>
      </w:r>
      <w:r>
        <w:rPr>
          <w:rFonts w:hint="eastAsia" w:ascii="仿宋" w:hAnsi="仿宋" w:eastAsia="仿宋"/>
          <w:sz w:val="28"/>
          <w:szCs w:val="28"/>
        </w:rPr>
        <w:t>3</w:t>
      </w:r>
      <w:r>
        <w:rPr>
          <w:rFonts w:hint="eastAsia" w:ascii="仿宋" w:hAnsi="仿宋" w:eastAsia="仿宋"/>
          <w:sz w:val="28"/>
          <w:szCs w:val="28"/>
          <w:lang w:val="zh-CN"/>
        </w:rPr>
        <w:t>年“三公”经费预算情况（单位：</w:t>
      </w:r>
      <w:r>
        <w:rPr>
          <w:rFonts w:hint="eastAsia" w:ascii="仿宋" w:hAnsi="仿宋" w:eastAsia="仿宋"/>
          <w:sz w:val="28"/>
          <w:szCs w:val="28"/>
        </w:rPr>
        <w:t>万</w:t>
      </w:r>
      <w:r>
        <w:rPr>
          <w:rFonts w:hint="eastAsia" w:ascii="仿宋" w:hAnsi="仿宋" w:eastAsia="仿宋"/>
          <w:sz w:val="28"/>
          <w:szCs w:val="28"/>
          <w:lang w:val="zh-CN"/>
        </w:rPr>
        <w:t>元）</w:t>
      </w:r>
    </w:p>
    <w:tbl>
      <w:tblPr>
        <w:tblStyle w:val="7"/>
        <w:tblW w:w="8282" w:type="dxa"/>
        <w:jc w:val="center"/>
        <w:tblLayout w:type="fixed"/>
        <w:tblCellMar>
          <w:top w:w="0" w:type="dxa"/>
          <w:left w:w="0" w:type="dxa"/>
          <w:bottom w:w="0" w:type="dxa"/>
          <w:right w:w="0" w:type="dxa"/>
        </w:tblCellMar>
      </w:tblPr>
      <w:tblGrid>
        <w:gridCol w:w="1137"/>
        <w:gridCol w:w="1705"/>
        <w:gridCol w:w="1812"/>
        <w:gridCol w:w="1814"/>
        <w:gridCol w:w="1814"/>
      </w:tblGrid>
      <w:tr w14:paraId="6EC2128C">
        <w:tblPrEx>
          <w:tblCellMar>
            <w:top w:w="0" w:type="dxa"/>
            <w:left w:w="0" w:type="dxa"/>
            <w:bottom w:w="0" w:type="dxa"/>
            <w:right w:w="0" w:type="dxa"/>
          </w:tblCellMar>
        </w:tblPrEx>
        <w:trPr>
          <w:trHeight w:val="510" w:hRule="atLeast"/>
          <w:jc w:val="center"/>
        </w:trPr>
        <w:tc>
          <w:tcPr>
            <w:tcW w:w="284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0DE8B54">
            <w:pPr>
              <w:widowControl/>
              <w:jc w:val="center"/>
              <w:rPr>
                <w:rFonts w:ascii="仿宋" w:hAnsi="仿宋" w:eastAsia="仿宋"/>
                <w:kern w:val="0"/>
                <w:sz w:val="21"/>
                <w:szCs w:val="21"/>
              </w:rPr>
            </w:pPr>
            <w:r>
              <w:rPr>
                <w:rFonts w:hint="eastAsia" w:ascii="仿宋" w:hAnsi="仿宋" w:eastAsia="仿宋"/>
                <w:bCs/>
                <w:kern w:val="0"/>
                <w:sz w:val="21"/>
                <w:szCs w:val="21"/>
              </w:rPr>
              <w:t>费用项目</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CF68F82">
            <w:pPr>
              <w:widowControl/>
              <w:jc w:val="center"/>
              <w:rPr>
                <w:rFonts w:ascii="仿宋" w:hAnsi="仿宋" w:eastAsia="仿宋"/>
                <w:kern w:val="0"/>
                <w:sz w:val="21"/>
                <w:szCs w:val="21"/>
              </w:rPr>
            </w:pPr>
            <w:r>
              <w:rPr>
                <w:rFonts w:hint="eastAsia" w:ascii="仿宋" w:hAnsi="仿宋" w:eastAsia="仿宋"/>
                <w:bCs/>
                <w:kern w:val="0"/>
                <w:sz w:val="21"/>
                <w:szCs w:val="21"/>
              </w:rPr>
              <w:t>基本支出</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3BECAE0">
            <w:pPr>
              <w:widowControl/>
              <w:jc w:val="center"/>
              <w:rPr>
                <w:rFonts w:ascii="仿宋" w:hAnsi="仿宋" w:eastAsia="仿宋"/>
                <w:kern w:val="0"/>
                <w:sz w:val="21"/>
                <w:szCs w:val="21"/>
              </w:rPr>
            </w:pPr>
            <w:r>
              <w:rPr>
                <w:rFonts w:hint="eastAsia" w:ascii="仿宋" w:hAnsi="仿宋" w:eastAsia="仿宋"/>
                <w:bCs/>
                <w:kern w:val="0"/>
                <w:sz w:val="21"/>
                <w:szCs w:val="21"/>
              </w:rPr>
              <w:t>项目支出</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F06C6F">
            <w:pPr>
              <w:widowControl/>
              <w:jc w:val="center"/>
              <w:rPr>
                <w:rFonts w:ascii="仿宋" w:hAnsi="仿宋" w:eastAsia="仿宋"/>
                <w:bCs/>
                <w:kern w:val="0"/>
                <w:sz w:val="21"/>
                <w:szCs w:val="21"/>
              </w:rPr>
            </w:pPr>
            <w:r>
              <w:rPr>
                <w:rFonts w:hint="eastAsia" w:ascii="仿宋" w:hAnsi="仿宋" w:eastAsia="仿宋"/>
                <w:bCs/>
                <w:kern w:val="0"/>
                <w:sz w:val="21"/>
                <w:szCs w:val="21"/>
              </w:rPr>
              <w:t>合计</w:t>
            </w:r>
          </w:p>
        </w:tc>
      </w:tr>
      <w:tr w14:paraId="1BD1F9F3">
        <w:tblPrEx>
          <w:tblCellMar>
            <w:top w:w="0" w:type="dxa"/>
            <w:left w:w="0" w:type="dxa"/>
            <w:bottom w:w="0" w:type="dxa"/>
            <w:right w:w="0" w:type="dxa"/>
          </w:tblCellMar>
        </w:tblPrEx>
        <w:trPr>
          <w:trHeight w:val="510" w:hRule="atLeast"/>
          <w:jc w:val="center"/>
        </w:trPr>
        <w:tc>
          <w:tcPr>
            <w:tcW w:w="284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DB1AFAC">
            <w:pPr>
              <w:widowControl/>
              <w:jc w:val="center"/>
              <w:rPr>
                <w:rFonts w:ascii="仿宋" w:hAnsi="仿宋" w:eastAsia="仿宋"/>
                <w:kern w:val="0"/>
                <w:sz w:val="21"/>
                <w:szCs w:val="21"/>
              </w:rPr>
            </w:pPr>
            <w:r>
              <w:rPr>
                <w:rFonts w:hint="eastAsia" w:ascii="仿宋" w:hAnsi="仿宋" w:eastAsia="仿宋"/>
                <w:bCs/>
                <w:kern w:val="0"/>
                <w:sz w:val="21"/>
                <w:szCs w:val="21"/>
              </w:rPr>
              <w:t>公务接待费</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1B61516">
            <w:pPr>
              <w:widowControl/>
              <w:jc w:val="right"/>
              <w:rPr>
                <w:rFonts w:ascii="仿宋" w:hAnsi="仿宋" w:eastAsia="仿宋"/>
                <w:kern w:val="0"/>
                <w:sz w:val="21"/>
                <w:szCs w:val="21"/>
              </w:rPr>
            </w:pPr>
            <w:r>
              <w:rPr>
                <w:rFonts w:hint="eastAsia" w:ascii="仿宋" w:hAnsi="仿宋" w:eastAsia="仿宋"/>
                <w:bCs/>
                <w:kern w:val="0"/>
                <w:sz w:val="21"/>
                <w:szCs w:val="21"/>
              </w:rPr>
              <w:t>4</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4DBDFA8">
            <w:pPr>
              <w:widowControl/>
              <w:jc w:val="right"/>
              <w:rPr>
                <w:rFonts w:ascii="仿宋" w:hAnsi="仿宋" w:eastAsia="仿宋"/>
                <w:kern w:val="0"/>
                <w:sz w:val="21"/>
                <w:szCs w:val="21"/>
              </w:rPr>
            </w:pPr>
            <w:r>
              <w:rPr>
                <w:rFonts w:hint="eastAsia" w:ascii="仿宋" w:hAnsi="仿宋" w:eastAsia="仿宋"/>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1211003">
            <w:pPr>
              <w:widowControl/>
              <w:jc w:val="right"/>
              <w:rPr>
                <w:rFonts w:ascii="仿宋" w:hAnsi="仿宋" w:eastAsia="仿宋"/>
                <w:kern w:val="0"/>
                <w:sz w:val="21"/>
                <w:szCs w:val="21"/>
              </w:rPr>
            </w:pPr>
            <w:r>
              <w:rPr>
                <w:rFonts w:hint="eastAsia" w:ascii="仿宋" w:hAnsi="仿宋" w:eastAsia="仿宋"/>
                <w:bCs/>
                <w:kern w:val="0"/>
                <w:sz w:val="21"/>
                <w:szCs w:val="21"/>
              </w:rPr>
              <w:t>4</w:t>
            </w:r>
          </w:p>
        </w:tc>
      </w:tr>
      <w:tr w14:paraId="51085AD4">
        <w:tblPrEx>
          <w:tblCellMar>
            <w:top w:w="0" w:type="dxa"/>
            <w:left w:w="0" w:type="dxa"/>
            <w:bottom w:w="0" w:type="dxa"/>
            <w:right w:w="0" w:type="dxa"/>
          </w:tblCellMar>
        </w:tblPrEx>
        <w:trPr>
          <w:trHeight w:val="510" w:hRule="atLeast"/>
          <w:jc w:val="center"/>
        </w:trPr>
        <w:tc>
          <w:tcPr>
            <w:tcW w:w="113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0AAA5FB">
            <w:pPr>
              <w:widowControl/>
              <w:jc w:val="center"/>
              <w:rPr>
                <w:rFonts w:ascii="仿宋" w:hAnsi="仿宋" w:eastAsia="仿宋"/>
                <w:kern w:val="0"/>
                <w:sz w:val="21"/>
                <w:szCs w:val="21"/>
              </w:rPr>
            </w:pPr>
            <w:r>
              <w:rPr>
                <w:rFonts w:hint="eastAsia" w:ascii="仿宋" w:hAnsi="仿宋" w:eastAsia="仿宋"/>
                <w:kern w:val="0"/>
                <w:sz w:val="21"/>
                <w:szCs w:val="21"/>
              </w:rPr>
              <w:t>公务用车购置及运行费</w:t>
            </w:r>
          </w:p>
        </w:tc>
        <w:tc>
          <w:tcPr>
            <w:tcW w:w="1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CFE7A3F">
            <w:pPr>
              <w:widowControl/>
              <w:jc w:val="center"/>
              <w:rPr>
                <w:rFonts w:ascii="仿宋" w:hAnsi="仿宋" w:eastAsia="仿宋"/>
                <w:kern w:val="0"/>
                <w:sz w:val="21"/>
                <w:szCs w:val="21"/>
              </w:rPr>
            </w:pPr>
            <w:r>
              <w:rPr>
                <w:rFonts w:hint="eastAsia" w:ascii="仿宋" w:hAnsi="仿宋" w:eastAsia="仿宋"/>
                <w:bCs/>
                <w:kern w:val="0"/>
                <w:sz w:val="21"/>
                <w:szCs w:val="21"/>
              </w:rPr>
              <w:t>公车运行维护费</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5ED2D70">
            <w:pPr>
              <w:widowControl/>
              <w:jc w:val="right"/>
              <w:rPr>
                <w:rFonts w:ascii="仿宋" w:hAnsi="仿宋" w:eastAsia="仿宋"/>
                <w:kern w:val="0"/>
                <w:sz w:val="21"/>
                <w:szCs w:val="21"/>
              </w:rPr>
            </w:pPr>
            <w:r>
              <w:rPr>
                <w:rFonts w:hint="eastAsia" w:ascii="仿宋" w:hAnsi="仿宋" w:eastAsia="仿宋"/>
                <w:kern w:val="0"/>
                <w:sz w:val="21"/>
                <w:szCs w:val="21"/>
              </w:rPr>
              <w:t>215</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F0619F">
            <w:pPr>
              <w:widowControl/>
              <w:jc w:val="right"/>
              <w:rPr>
                <w:rFonts w:ascii="仿宋" w:hAnsi="仿宋" w:eastAsia="仿宋"/>
                <w:kern w:val="0"/>
                <w:sz w:val="21"/>
                <w:szCs w:val="21"/>
              </w:rPr>
            </w:pPr>
            <w:r>
              <w:rPr>
                <w:rFonts w:hint="eastAsia" w:ascii="仿宋" w:hAnsi="仿宋" w:eastAsia="仿宋"/>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E168DE5">
            <w:pPr>
              <w:widowControl/>
              <w:jc w:val="right"/>
              <w:rPr>
                <w:rFonts w:ascii="仿宋" w:hAnsi="仿宋" w:eastAsia="仿宋"/>
                <w:kern w:val="0"/>
                <w:sz w:val="21"/>
                <w:szCs w:val="21"/>
              </w:rPr>
            </w:pPr>
            <w:r>
              <w:rPr>
                <w:rFonts w:hint="eastAsia" w:ascii="仿宋" w:hAnsi="仿宋" w:eastAsia="仿宋"/>
                <w:kern w:val="0"/>
                <w:sz w:val="21"/>
                <w:szCs w:val="21"/>
              </w:rPr>
              <w:t>215</w:t>
            </w:r>
          </w:p>
        </w:tc>
      </w:tr>
      <w:tr w14:paraId="70155AA6">
        <w:tblPrEx>
          <w:tblCellMar>
            <w:top w:w="0" w:type="dxa"/>
            <w:left w:w="0" w:type="dxa"/>
            <w:bottom w:w="0" w:type="dxa"/>
            <w:right w:w="0" w:type="dxa"/>
          </w:tblCellMar>
        </w:tblPrEx>
        <w:trPr>
          <w:trHeight w:val="510" w:hRule="atLeast"/>
          <w:jc w:val="center"/>
        </w:trPr>
        <w:tc>
          <w:tcPr>
            <w:tcW w:w="1137" w:type="dxa"/>
            <w:vMerge w:val="continue"/>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ACDA536">
            <w:pPr>
              <w:widowControl/>
              <w:jc w:val="center"/>
              <w:rPr>
                <w:rFonts w:ascii="仿宋" w:hAnsi="仿宋" w:eastAsia="仿宋" w:cstheme="minorBidi"/>
                <w:kern w:val="0"/>
                <w:sz w:val="21"/>
                <w:szCs w:val="21"/>
              </w:rPr>
            </w:pPr>
          </w:p>
        </w:tc>
        <w:tc>
          <w:tcPr>
            <w:tcW w:w="1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FAFBDB2">
            <w:pPr>
              <w:widowControl/>
              <w:jc w:val="center"/>
              <w:rPr>
                <w:rFonts w:ascii="仿宋" w:hAnsi="仿宋" w:eastAsia="仿宋" w:cstheme="minorBidi"/>
                <w:kern w:val="0"/>
                <w:sz w:val="21"/>
                <w:szCs w:val="21"/>
              </w:rPr>
            </w:pPr>
            <w:r>
              <w:rPr>
                <w:rFonts w:hint="eastAsia" w:ascii="仿宋" w:hAnsi="仿宋" w:eastAsia="仿宋"/>
                <w:bCs/>
                <w:kern w:val="0"/>
                <w:sz w:val="21"/>
                <w:szCs w:val="21"/>
              </w:rPr>
              <w:t>公务车购置费</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41F25B0">
            <w:pPr>
              <w:widowControl/>
              <w:jc w:val="right"/>
              <w:rPr>
                <w:rFonts w:ascii="仿宋" w:hAnsi="仿宋" w:eastAsia="仿宋" w:cstheme="minorBidi"/>
                <w:kern w:val="0"/>
                <w:sz w:val="21"/>
                <w:szCs w:val="21"/>
              </w:rPr>
            </w:pPr>
            <w:r>
              <w:rPr>
                <w:rFonts w:hint="eastAsia" w:ascii="仿宋" w:hAnsi="仿宋" w:eastAsia="仿宋"/>
                <w:kern w:val="0"/>
                <w:sz w:val="21"/>
                <w:szCs w:val="21"/>
              </w:rPr>
              <w:t>117</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CC2108">
            <w:pPr>
              <w:widowControl/>
              <w:jc w:val="right"/>
              <w:rPr>
                <w:rFonts w:ascii="仿宋" w:hAnsi="仿宋" w:eastAsia="仿宋"/>
                <w:kern w:val="0"/>
                <w:sz w:val="21"/>
                <w:szCs w:val="21"/>
              </w:rPr>
            </w:pPr>
            <w:r>
              <w:rPr>
                <w:rFonts w:hint="eastAsia" w:ascii="仿宋" w:hAnsi="仿宋" w:eastAsia="仿宋"/>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B6C533B">
            <w:pPr>
              <w:widowControl/>
              <w:jc w:val="right"/>
              <w:rPr>
                <w:rFonts w:ascii="仿宋" w:hAnsi="仿宋" w:eastAsia="仿宋"/>
                <w:kern w:val="0"/>
                <w:sz w:val="21"/>
                <w:szCs w:val="21"/>
              </w:rPr>
            </w:pPr>
            <w:r>
              <w:rPr>
                <w:rFonts w:hint="eastAsia" w:ascii="仿宋" w:hAnsi="仿宋" w:eastAsia="仿宋"/>
                <w:kern w:val="0"/>
                <w:sz w:val="21"/>
                <w:szCs w:val="21"/>
              </w:rPr>
              <w:t>117</w:t>
            </w:r>
          </w:p>
        </w:tc>
      </w:tr>
      <w:tr w14:paraId="33372226">
        <w:tblPrEx>
          <w:tblCellMar>
            <w:top w:w="0" w:type="dxa"/>
            <w:left w:w="0" w:type="dxa"/>
            <w:bottom w:w="0" w:type="dxa"/>
            <w:right w:w="0" w:type="dxa"/>
          </w:tblCellMar>
        </w:tblPrEx>
        <w:trPr>
          <w:trHeight w:val="510" w:hRule="atLeast"/>
          <w:jc w:val="center"/>
        </w:trPr>
        <w:tc>
          <w:tcPr>
            <w:tcW w:w="284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3329545">
            <w:pPr>
              <w:widowControl/>
              <w:jc w:val="center"/>
              <w:rPr>
                <w:rFonts w:ascii="仿宋" w:hAnsi="仿宋" w:eastAsia="仿宋" w:cstheme="minorBidi"/>
                <w:kern w:val="0"/>
                <w:sz w:val="21"/>
                <w:szCs w:val="21"/>
              </w:rPr>
            </w:pPr>
            <w:r>
              <w:rPr>
                <w:rFonts w:hint="eastAsia" w:ascii="仿宋" w:hAnsi="仿宋" w:eastAsia="仿宋"/>
                <w:bCs/>
                <w:kern w:val="0"/>
                <w:sz w:val="21"/>
                <w:szCs w:val="21"/>
              </w:rPr>
              <w:t>因公出国费用</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9F165CB">
            <w:pPr>
              <w:widowControl/>
              <w:jc w:val="right"/>
              <w:rPr>
                <w:rFonts w:ascii="仿宋" w:hAnsi="仿宋" w:eastAsia="仿宋" w:cstheme="minorBidi"/>
                <w:kern w:val="0"/>
                <w:sz w:val="21"/>
                <w:szCs w:val="21"/>
              </w:rPr>
            </w:pPr>
            <w:r>
              <w:rPr>
                <w:rFonts w:hint="eastAsia" w:ascii="仿宋" w:hAnsi="仿宋" w:eastAsia="仿宋"/>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19E9BE5">
            <w:pPr>
              <w:widowControl/>
              <w:jc w:val="right"/>
              <w:rPr>
                <w:rFonts w:ascii="仿宋" w:hAnsi="仿宋" w:eastAsia="仿宋"/>
                <w:kern w:val="0"/>
                <w:sz w:val="21"/>
                <w:szCs w:val="21"/>
              </w:rPr>
            </w:pPr>
            <w:r>
              <w:rPr>
                <w:rFonts w:hint="eastAsia" w:ascii="仿宋" w:hAnsi="仿宋" w:eastAsia="仿宋"/>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CCDA40">
            <w:pPr>
              <w:widowControl/>
              <w:jc w:val="right"/>
              <w:rPr>
                <w:rFonts w:ascii="仿宋" w:hAnsi="仿宋" w:eastAsia="仿宋"/>
                <w:kern w:val="0"/>
                <w:sz w:val="21"/>
                <w:szCs w:val="21"/>
              </w:rPr>
            </w:pPr>
            <w:r>
              <w:rPr>
                <w:rFonts w:hint="eastAsia" w:ascii="仿宋" w:hAnsi="仿宋" w:eastAsia="仿宋"/>
                <w:kern w:val="0"/>
                <w:sz w:val="21"/>
                <w:szCs w:val="21"/>
              </w:rPr>
              <w:t>0</w:t>
            </w:r>
          </w:p>
        </w:tc>
      </w:tr>
      <w:tr w14:paraId="211B7506">
        <w:tblPrEx>
          <w:tblCellMar>
            <w:top w:w="0" w:type="dxa"/>
            <w:left w:w="0" w:type="dxa"/>
            <w:bottom w:w="0" w:type="dxa"/>
            <w:right w:w="0" w:type="dxa"/>
          </w:tblCellMar>
        </w:tblPrEx>
        <w:trPr>
          <w:trHeight w:val="510" w:hRule="atLeast"/>
          <w:jc w:val="center"/>
        </w:trPr>
        <w:tc>
          <w:tcPr>
            <w:tcW w:w="284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3895D75">
            <w:pPr>
              <w:widowControl/>
              <w:jc w:val="center"/>
              <w:rPr>
                <w:rFonts w:ascii="仿宋" w:hAnsi="仿宋" w:eastAsia="仿宋" w:cstheme="minorBidi"/>
                <w:kern w:val="0"/>
                <w:sz w:val="21"/>
                <w:szCs w:val="21"/>
              </w:rPr>
            </w:pPr>
            <w:r>
              <w:rPr>
                <w:rFonts w:hint="eastAsia" w:ascii="仿宋" w:hAnsi="仿宋" w:eastAsia="仿宋"/>
                <w:bCs/>
                <w:kern w:val="0"/>
                <w:sz w:val="21"/>
                <w:szCs w:val="21"/>
              </w:rPr>
              <w:t>合  计</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F3F754">
            <w:pPr>
              <w:widowControl/>
              <w:jc w:val="right"/>
              <w:rPr>
                <w:rFonts w:ascii="仿宋" w:hAnsi="仿宋" w:eastAsia="仿宋" w:cstheme="minorBidi"/>
                <w:kern w:val="0"/>
                <w:sz w:val="21"/>
                <w:szCs w:val="21"/>
              </w:rPr>
            </w:pPr>
            <w:r>
              <w:rPr>
                <w:rFonts w:hint="eastAsia" w:ascii="仿宋" w:hAnsi="仿宋" w:eastAsia="仿宋"/>
                <w:kern w:val="0"/>
                <w:sz w:val="21"/>
                <w:szCs w:val="21"/>
              </w:rPr>
              <w:t>336</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6E4DD94">
            <w:pPr>
              <w:widowControl/>
              <w:jc w:val="right"/>
              <w:rPr>
                <w:rFonts w:ascii="仿宋" w:hAnsi="仿宋" w:eastAsia="仿宋" w:cstheme="minorBidi"/>
                <w:kern w:val="0"/>
                <w:sz w:val="21"/>
                <w:szCs w:val="21"/>
              </w:rPr>
            </w:pPr>
            <w:r>
              <w:rPr>
                <w:rFonts w:hint="eastAsia" w:ascii="仿宋" w:hAnsi="仿宋" w:eastAsia="仿宋"/>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51AB2F3">
            <w:pPr>
              <w:widowControl/>
              <w:jc w:val="right"/>
              <w:rPr>
                <w:rFonts w:ascii="仿宋" w:hAnsi="仿宋" w:eastAsia="仿宋" w:cstheme="minorBidi"/>
                <w:kern w:val="0"/>
                <w:sz w:val="21"/>
                <w:szCs w:val="21"/>
              </w:rPr>
            </w:pPr>
            <w:r>
              <w:rPr>
                <w:rFonts w:hint="eastAsia" w:ascii="仿宋" w:hAnsi="仿宋" w:eastAsia="仿宋"/>
                <w:kern w:val="0"/>
                <w:sz w:val="21"/>
                <w:szCs w:val="21"/>
              </w:rPr>
              <w:t>336</w:t>
            </w:r>
          </w:p>
        </w:tc>
      </w:tr>
    </w:tbl>
    <w:p w14:paraId="39545065">
      <w:pPr>
        <w:ind w:firstLine="560" w:firstLineChars="200"/>
        <w:rPr>
          <w:rFonts w:ascii="仿宋" w:hAnsi="仿宋" w:eastAsia="仿宋"/>
          <w:szCs w:val="32"/>
        </w:rPr>
      </w:pPr>
      <w:r>
        <w:rPr>
          <w:rFonts w:hint="eastAsia" w:ascii="仿宋" w:hAnsi="仿宋" w:eastAsia="仿宋"/>
          <w:sz w:val="28"/>
          <w:szCs w:val="28"/>
        </w:rPr>
        <w:t>2、</w:t>
      </w:r>
      <w:r>
        <w:rPr>
          <w:rFonts w:hint="eastAsia" w:ascii="仿宋" w:hAnsi="仿宋" w:eastAsia="仿宋"/>
          <w:sz w:val="28"/>
          <w:szCs w:val="28"/>
          <w:lang w:val="zh-CN"/>
        </w:rPr>
        <w:t>“三公”经费预算执行比较情况（单位：</w:t>
      </w:r>
      <w:r>
        <w:rPr>
          <w:rFonts w:hint="eastAsia" w:ascii="仿宋" w:hAnsi="仿宋" w:eastAsia="仿宋"/>
          <w:sz w:val="28"/>
          <w:szCs w:val="28"/>
        </w:rPr>
        <w:t>万</w:t>
      </w:r>
      <w:r>
        <w:rPr>
          <w:rFonts w:hint="eastAsia" w:ascii="仿宋" w:hAnsi="仿宋" w:eastAsia="仿宋"/>
          <w:sz w:val="28"/>
          <w:szCs w:val="28"/>
          <w:lang w:val="zh-CN"/>
        </w:rPr>
        <w:t>元）</w:t>
      </w:r>
    </w:p>
    <w:tbl>
      <w:tblPr>
        <w:tblStyle w:val="7"/>
        <w:tblW w:w="8278" w:type="dxa"/>
        <w:jc w:val="center"/>
        <w:tblLayout w:type="fixed"/>
        <w:tblCellMar>
          <w:top w:w="0" w:type="dxa"/>
          <w:left w:w="0" w:type="dxa"/>
          <w:bottom w:w="0" w:type="dxa"/>
          <w:right w:w="0" w:type="dxa"/>
        </w:tblCellMar>
      </w:tblPr>
      <w:tblGrid>
        <w:gridCol w:w="1072"/>
        <w:gridCol w:w="744"/>
        <w:gridCol w:w="1077"/>
        <w:gridCol w:w="1077"/>
        <w:gridCol w:w="1077"/>
        <w:gridCol w:w="1077"/>
        <w:gridCol w:w="1077"/>
        <w:gridCol w:w="1077"/>
      </w:tblGrid>
      <w:tr w14:paraId="5C288AE5">
        <w:tblPrEx>
          <w:tblCellMar>
            <w:top w:w="0" w:type="dxa"/>
            <w:left w:w="0" w:type="dxa"/>
            <w:bottom w:w="0" w:type="dxa"/>
            <w:right w:w="0" w:type="dxa"/>
          </w:tblCellMar>
        </w:tblPrEx>
        <w:trPr>
          <w:trHeight w:val="454" w:hRule="atLeast"/>
          <w:jc w:val="center"/>
        </w:trPr>
        <w:tc>
          <w:tcPr>
            <w:tcW w:w="181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894F4C">
            <w:pPr>
              <w:widowControl/>
              <w:jc w:val="center"/>
              <w:rPr>
                <w:rFonts w:ascii="仿宋" w:hAnsi="仿宋" w:eastAsia="仿宋"/>
                <w:bCs/>
                <w:kern w:val="0"/>
                <w:sz w:val="21"/>
                <w:szCs w:val="21"/>
              </w:rPr>
            </w:pPr>
            <w:r>
              <w:rPr>
                <w:rFonts w:hint="eastAsia" w:ascii="仿宋" w:hAnsi="仿宋" w:eastAsia="仿宋"/>
                <w:bCs/>
                <w:kern w:val="0"/>
                <w:sz w:val="21"/>
                <w:szCs w:val="21"/>
              </w:rPr>
              <w:t>费用项目</w:t>
            </w:r>
          </w:p>
        </w:tc>
        <w:tc>
          <w:tcPr>
            <w:tcW w:w="21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A8779A0">
            <w:pPr>
              <w:widowControl/>
              <w:jc w:val="center"/>
              <w:rPr>
                <w:rFonts w:ascii="仿宋" w:hAnsi="仿宋" w:eastAsia="仿宋"/>
                <w:bCs/>
                <w:kern w:val="0"/>
                <w:sz w:val="21"/>
                <w:szCs w:val="21"/>
              </w:rPr>
            </w:pPr>
            <w:r>
              <w:rPr>
                <w:rFonts w:hint="eastAsia" w:ascii="仿宋" w:hAnsi="仿宋" w:eastAsia="仿宋"/>
                <w:bCs/>
                <w:kern w:val="0"/>
                <w:sz w:val="21"/>
                <w:szCs w:val="21"/>
              </w:rPr>
              <w:t>预算金额</w:t>
            </w:r>
          </w:p>
        </w:tc>
        <w:tc>
          <w:tcPr>
            <w:tcW w:w="21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CA71797">
            <w:pPr>
              <w:widowControl/>
              <w:jc w:val="center"/>
              <w:rPr>
                <w:rFonts w:ascii="仿宋" w:hAnsi="仿宋" w:eastAsia="仿宋"/>
                <w:bCs/>
                <w:kern w:val="0"/>
                <w:sz w:val="21"/>
                <w:szCs w:val="21"/>
              </w:rPr>
            </w:pPr>
            <w:r>
              <w:rPr>
                <w:rFonts w:hint="eastAsia" w:ascii="仿宋" w:hAnsi="仿宋" w:eastAsia="仿宋"/>
                <w:bCs/>
                <w:kern w:val="0"/>
                <w:sz w:val="21"/>
                <w:szCs w:val="21"/>
              </w:rPr>
              <w:t>决算金额</w:t>
            </w:r>
          </w:p>
        </w:tc>
        <w:tc>
          <w:tcPr>
            <w:tcW w:w="21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F108F8B">
            <w:pPr>
              <w:widowControl/>
              <w:jc w:val="center"/>
              <w:rPr>
                <w:rFonts w:ascii="仿宋" w:hAnsi="仿宋" w:eastAsia="仿宋"/>
                <w:bCs/>
                <w:kern w:val="0"/>
                <w:sz w:val="21"/>
                <w:szCs w:val="21"/>
              </w:rPr>
            </w:pPr>
            <w:r>
              <w:rPr>
                <w:rFonts w:hint="eastAsia" w:ascii="仿宋" w:hAnsi="仿宋" w:eastAsia="仿宋"/>
                <w:bCs/>
                <w:kern w:val="0"/>
                <w:sz w:val="21"/>
                <w:szCs w:val="21"/>
              </w:rPr>
              <w:t>减少额（预-决）</w:t>
            </w:r>
          </w:p>
        </w:tc>
      </w:tr>
      <w:tr w14:paraId="17FDBE2D">
        <w:tblPrEx>
          <w:tblCellMar>
            <w:top w:w="0" w:type="dxa"/>
            <w:left w:w="0" w:type="dxa"/>
            <w:bottom w:w="0" w:type="dxa"/>
            <w:right w:w="0" w:type="dxa"/>
          </w:tblCellMar>
        </w:tblPrEx>
        <w:trPr>
          <w:trHeight w:val="454" w:hRule="atLeast"/>
          <w:jc w:val="center"/>
        </w:trPr>
        <w:tc>
          <w:tcPr>
            <w:tcW w:w="1816" w:type="dxa"/>
            <w:gridSpan w:val="2"/>
            <w:tcBorders>
              <w:top w:val="single" w:color="auto" w:sz="4" w:space="0"/>
              <w:left w:val="single" w:color="auto" w:sz="4" w:space="0"/>
              <w:bottom w:val="single" w:color="auto" w:sz="4" w:space="0"/>
              <w:right w:val="single" w:color="auto" w:sz="4" w:space="0"/>
            </w:tcBorders>
            <w:vAlign w:val="center"/>
          </w:tcPr>
          <w:p w14:paraId="2DED2D68">
            <w:pPr>
              <w:widowControl/>
              <w:jc w:val="center"/>
              <w:rPr>
                <w:rFonts w:ascii="仿宋" w:hAnsi="仿宋" w:eastAsia="仿宋"/>
                <w:bCs/>
                <w:kern w:val="0"/>
                <w:sz w:val="21"/>
                <w:szCs w:val="21"/>
              </w:rPr>
            </w:pP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0ABF644">
            <w:pPr>
              <w:widowControl/>
              <w:jc w:val="center"/>
              <w:rPr>
                <w:rFonts w:ascii="仿宋" w:hAnsi="仿宋" w:eastAsia="仿宋"/>
                <w:bCs/>
                <w:kern w:val="0"/>
                <w:sz w:val="21"/>
                <w:szCs w:val="21"/>
              </w:rPr>
            </w:pPr>
            <w:r>
              <w:rPr>
                <w:rFonts w:hint="eastAsia" w:ascii="仿宋" w:hAnsi="仿宋" w:eastAsia="仿宋"/>
                <w:bCs/>
                <w:kern w:val="0"/>
                <w:sz w:val="21"/>
                <w:szCs w:val="21"/>
              </w:rPr>
              <w:t>基本支出</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AEA6368">
            <w:pPr>
              <w:widowControl/>
              <w:jc w:val="center"/>
              <w:rPr>
                <w:rFonts w:ascii="仿宋" w:hAnsi="仿宋" w:eastAsia="仿宋"/>
                <w:bCs/>
                <w:kern w:val="0"/>
                <w:sz w:val="21"/>
                <w:szCs w:val="21"/>
              </w:rPr>
            </w:pPr>
            <w:r>
              <w:rPr>
                <w:rFonts w:hint="eastAsia" w:ascii="仿宋" w:hAnsi="仿宋" w:eastAsia="仿宋"/>
                <w:bCs/>
                <w:kern w:val="0"/>
                <w:sz w:val="21"/>
                <w:szCs w:val="21"/>
              </w:rPr>
              <w:t>项目支出</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9F0087C">
            <w:pPr>
              <w:widowControl/>
              <w:jc w:val="center"/>
              <w:rPr>
                <w:rFonts w:ascii="仿宋" w:hAnsi="仿宋" w:eastAsia="仿宋"/>
                <w:bCs/>
                <w:kern w:val="0"/>
                <w:sz w:val="21"/>
                <w:szCs w:val="21"/>
              </w:rPr>
            </w:pPr>
            <w:r>
              <w:rPr>
                <w:rFonts w:hint="eastAsia" w:ascii="仿宋" w:hAnsi="仿宋" w:eastAsia="仿宋"/>
                <w:bCs/>
                <w:kern w:val="0"/>
                <w:sz w:val="21"/>
                <w:szCs w:val="21"/>
              </w:rPr>
              <w:t>基本支出</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8DBFF1E">
            <w:pPr>
              <w:widowControl/>
              <w:jc w:val="center"/>
              <w:rPr>
                <w:rFonts w:ascii="仿宋" w:hAnsi="仿宋" w:eastAsia="仿宋"/>
                <w:bCs/>
                <w:kern w:val="0"/>
                <w:sz w:val="21"/>
                <w:szCs w:val="21"/>
              </w:rPr>
            </w:pPr>
            <w:r>
              <w:rPr>
                <w:rFonts w:hint="eastAsia" w:ascii="仿宋" w:hAnsi="仿宋" w:eastAsia="仿宋"/>
                <w:bCs/>
                <w:kern w:val="0"/>
                <w:sz w:val="21"/>
                <w:szCs w:val="21"/>
              </w:rPr>
              <w:t>项目支出</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708C0CD">
            <w:pPr>
              <w:widowControl/>
              <w:jc w:val="center"/>
              <w:rPr>
                <w:rFonts w:ascii="仿宋" w:hAnsi="仿宋" w:eastAsia="仿宋"/>
                <w:bCs/>
                <w:kern w:val="0"/>
                <w:sz w:val="21"/>
                <w:szCs w:val="21"/>
              </w:rPr>
            </w:pPr>
            <w:r>
              <w:rPr>
                <w:rFonts w:hint="eastAsia" w:ascii="仿宋" w:hAnsi="仿宋" w:eastAsia="仿宋"/>
                <w:bCs/>
                <w:kern w:val="0"/>
                <w:sz w:val="21"/>
                <w:szCs w:val="21"/>
              </w:rPr>
              <w:t>基本支出</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A9350E1">
            <w:pPr>
              <w:widowControl/>
              <w:jc w:val="center"/>
              <w:rPr>
                <w:rFonts w:ascii="仿宋" w:hAnsi="仿宋" w:eastAsia="仿宋"/>
                <w:bCs/>
                <w:kern w:val="0"/>
                <w:sz w:val="21"/>
                <w:szCs w:val="21"/>
              </w:rPr>
            </w:pPr>
            <w:r>
              <w:rPr>
                <w:rFonts w:hint="eastAsia" w:ascii="仿宋" w:hAnsi="仿宋" w:eastAsia="仿宋"/>
                <w:bCs/>
                <w:kern w:val="0"/>
                <w:sz w:val="21"/>
                <w:szCs w:val="21"/>
              </w:rPr>
              <w:t>项目支出</w:t>
            </w:r>
          </w:p>
        </w:tc>
      </w:tr>
      <w:tr w14:paraId="1A15B48B">
        <w:tblPrEx>
          <w:tblCellMar>
            <w:top w:w="0" w:type="dxa"/>
            <w:left w:w="0" w:type="dxa"/>
            <w:bottom w:w="0" w:type="dxa"/>
            <w:right w:w="0" w:type="dxa"/>
          </w:tblCellMar>
        </w:tblPrEx>
        <w:trPr>
          <w:trHeight w:val="454" w:hRule="atLeast"/>
          <w:jc w:val="center"/>
        </w:trPr>
        <w:tc>
          <w:tcPr>
            <w:tcW w:w="181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A958FBB">
            <w:pPr>
              <w:widowControl/>
              <w:jc w:val="center"/>
              <w:rPr>
                <w:rFonts w:ascii="仿宋" w:hAnsi="仿宋" w:eastAsia="仿宋"/>
                <w:bCs/>
                <w:kern w:val="0"/>
                <w:sz w:val="21"/>
                <w:szCs w:val="21"/>
              </w:rPr>
            </w:pPr>
            <w:r>
              <w:rPr>
                <w:rFonts w:hint="eastAsia" w:ascii="仿宋" w:hAnsi="仿宋" w:eastAsia="仿宋"/>
                <w:bCs/>
                <w:kern w:val="0"/>
                <w:sz w:val="21"/>
                <w:szCs w:val="21"/>
              </w:rPr>
              <w:t>公务接待</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3C883E0">
            <w:pPr>
              <w:widowControl/>
              <w:jc w:val="center"/>
              <w:rPr>
                <w:rFonts w:ascii="仿宋" w:hAnsi="仿宋" w:eastAsia="仿宋"/>
                <w:bCs/>
                <w:kern w:val="0"/>
                <w:sz w:val="21"/>
                <w:szCs w:val="21"/>
              </w:rPr>
            </w:pPr>
            <w:r>
              <w:rPr>
                <w:rFonts w:hint="eastAsia" w:ascii="仿宋" w:hAnsi="仿宋" w:eastAsia="仿宋"/>
                <w:bCs/>
                <w:kern w:val="0"/>
                <w:sz w:val="21"/>
                <w:szCs w:val="21"/>
              </w:rPr>
              <w:t>4</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2AD9B6E">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3653C3F">
            <w:pPr>
              <w:widowControl/>
              <w:jc w:val="center"/>
              <w:rPr>
                <w:rFonts w:ascii="仿宋" w:hAnsi="仿宋" w:eastAsia="仿宋"/>
                <w:bCs/>
                <w:kern w:val="0"/>
                <w:sz w:val="21"/>
                <w:szCs w:val="21"/>
              </w:rPr>
            </w:pPr>
            <w:r>
              <w:rPr>
                <w:rFonts w:hint="eastAsia" w:ascii="仿宋" w:hAnsi="仿宋" w:eastAsia="仿宋"/>
                <w:bCs/>
                <w:kern w:val="0"/>
                <w:sz w:val="21"/>
                <w:szCs w:val="21"/>
              </w:rPr>
              <w:t>1.09</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5891795">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0C2461E">
            <w:pPr>
              <w:widowControl/>
              <w:jc w:val="center"/>
              <w:rPr>
                <w:rFonts w:ascii="仿宋" w:hAnsi="仿宋" w:eastAsia="仿宋"/>
                <w:bCs/>
                <w:kern w:val="0"/>
                <w:sz w:val="21"/>
                <w:szCs w:val="21"/>
              </w:rPr>
            </w:pPr>
            <w:r>
              <w:rPr>
                <w:rFonts w:hint="eastAsia" w:ascii="仿宋" w:hAnsi="仿宋" w:eastAsia="仿宋"/>
                <w:bCs/>
                <w:kern w:val="0"/>
                <w:sz w:val="21"/>
                <w:szCs w:val="21"/>
              </w:rPr>
              <w:t>2.91</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558A0A9">
            <w:pPr>
              <w:widowControl/>
              <w:jc w:val="center"/>
              <w:rPr>
                <w:rFonts w:ascii="仿宋" w:hAnsi="仿宋" w:eastAsia="仿宋"/>
                <w:bCs/>
                <w:kern w:val="0"/>
                <w:sz w:val="21"/>
                <w:szCs w:val="21"/>
              </w:rPr>
            </w:pPr>
            <w:r>
              <w:rPr>
                <w:rFonts w:hint="eastAsia" w:ascii="仿宋" w:hAnsi="仿宋" w:eastAsia="仿宋"/>
                <w:bCs/>
                <w:kern w:val="0"/>
                <w:sz w:val="21"/>
                <w:szCs w:val="21"/>
              </w:rPr>
              <w:t>0</w:t>
            </w:r>
          </w:p>
        </w:tc>
      </w:tr>
      <w:tr w14:paraId="2F51CD05">
        <w:tblPrEx>
          <w:tblCellMar>
            <w:top w:w="0" w:type="dxa"/>
            <w:left w:w="0" w:type="dxa"/>
            <w:bottom w:w="0" w:type="dxa"/>
            <w:right w:w="0" w:type="dxa"/>
          </w:tblCellMar>
        </w:tblPrEx>
        <w:trPr>
          <w:trHeight w:val="454" w:hRule="atLeast"/>
          <w:jc w:val="center"/>
        </w:trPr>
        <w:tc>
          <w:tcPr>
            <w:tcW w:w="1072"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95B0DB3">
            <w:pPr>
              <w:widowControl/>
              <w:jc w:val="center"/>
              <w:rPr>
                <w:rFonts w:ascii="仿宋" w:hAnsi="仿宋" w:eastAsia="仿宋"/>
                <w:bCs/>
                <w:kern w:val="0"/>
                <w:sz w:val="21"/>
                <w:szCs w:val="21"/>
              </w:rPr>
            </w:pPr>
            <w:r>
              <w:rPr>
                <w:rFonts w:hint="eastAsia" w:ascii="仿宋" w:hAnsi="仿宋" w:eastAsia="仿宋"/>
                <w:bCs/>
                <w:kern w:val="0"/>
                <w:sz w:val="21"/>
                <w:szCs w:val="21"/>
              </w:rPr>
              <w:t>公务用车购置及运行费</w:t>
            </w:r>
          </w:p>
        </w:tc>
        <w:tc>
          <w:tcPr>
            <w:tcW w:w="7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9784FAC">
            <w:pPr>
              <w:widowControl/>
              <w:jc w:val="center"/>
              <w:rPr>
                <w:rFonts w:ascii="仿宋" w:hAnsi="仿宋" w:eastAsia="仿宋"/>
                <w:bCs/>
                <w:kern w:val="0"/>
                <w:sz w:val="21"/>
                <w:szCs w:val="21"/>
              </w:rPr>
            </w:pPr>
            <w:r>
              <w:rPr>
                <w:rFonts w:hint="eastAsia" w:ascii="仿宋" w:hAnsi="仿宋" w:eastAsia="仿宋"/>
                <w:bCs/>
                <w:kern w:val="0"/>
                <w:sz w:val="21"/>
                <w:szCs w:val="21"/>
              </w:rPr>
              <w:t>公车运行</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36DF26D">
            <w:pPr>
              <w:widowControl/>
              <w:jc w:val="center"/>
              <w:rPr>
                <w:rFonts w:ascii="仿宋" w:hAnsi="仿宋" w:eastAsia="仿宋"/>
                <w:bCs/>
                <w:kern w:val="0"/>
                <w:sz w:val="21"/>
                <w:szCs w:val="21"/>
              </w:rPr>
            </w:pPr>
            <w:r>
              <w:rPr>
                <w:rFonts w:hint="eastAsia" w:ascii="仿宋" w:hAnsi="仿宋" w:eastAsia="仿宋"/>
                <w:bCs/>
                <w:kern w:val="0"/>
                <w:sz w:val="21"/>
                <w:szCs w:val="21"/>
              </w:rPr>
              <w:t>215</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661A62">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FD982B">
            <w:pPr>
              <w:widowControl/>
              <w:jc w:val="center"/>
              <w:rPr>
                <w:rFonts w:ascii="仿宋" w:hAnsi="仿宋" w:eastAsia="仿宋"/>
                <w:bCs/>
                <w:kern w:val="0"/>
                <w:sz w:val="21"/>
                <w:szCs w:val="21"/>
              </w:rPr>
            </w:pPr>
            <w:r>
              <w:rPr>
                <w:rFonts w:hint="eastAsia" w:ascii="仿宋" w:hAnsi="仿宋" w:eastAsia="仿宋"/>
                <w:bCs/>
                <w:kern w:val="0"/>
                <w:sz w:val="21"/>
                <w:szCs w:val="21"/>
              </w:rPr>
              <w:t>41.18</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A1871C6">
            <w:pPr>
              <w:widowControl/>
              <w:jc w:val="center"/>
              <w:rPr>
                <w:rFonts w:ascii="仿宋" w:hAnsi="仿宋" w:eastAsia="仿宋"/>
                <w:bCs/>
                <w:kern w:val="0"/>
                <w:sz w:val="21"/>
                <w:szCs w:val="21"/>
              </w:rPr>
            </w:pPr>
            <w:r>
              <w:rPr>
                <w:rFonts w:hint="eastAsia" w:ascii="仿宋" w:hAnsi="仿宋" w:eastAsia="仿宋"/>
                <w:bCs/>
                <w:kern w:val="0"/>
                <w:sz w:val="21"/>
                <w:szCs w:val="21"/>
              </w:rPr>
              <w:t>204.93</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D24BD12">
            <w:pPr>
              <w:widowControl/>
              <w:jc w:val="center"/>
              <w:rPr>
                <w:rFonts w:ascii="仿宋" w:hAnsi="仿宋" w:eastAsia="仿宋"/>
                <w:bCs/>
                <w:kern w:val="0"/>
                <w:sz w:val="21"/>
                <w:szCs w:val="21"/>
              </w:rPr>
            </w:pPr>
            <w:r>
              <w:rPr>
                <w:rFonts w:hint="eastAsia" w:ascii="仿宋" w:hAnsi="仿宋" w:eastAsia="仿宋"/>
                <w:bCs/>
                <w:kern w:val="0"/>
                <w:sz w:val="21"/>
                <w:szCs w:val="21"/>
              </w:rPr>
              <w:t>173.82</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3C79D43">
            <w:pPr>
              <w:widowControl/>
              <w:jc w:val="center"/>
              <w:rPr>
                <w:rFonts w:ascii="仿宋" w:hAnsi="仿宋" w:eastAsia="仿宋"/>
                <w:bCs/>
                <w:kern w:val="0"/>
                <w:sz w:val="21"/>
                <w:szCs w:val="21"/>
              </w:rPr>
            </w:pPr>
            <w:r>
              <w:rPr>
                <w:rFonts w:hint="eastAsia" w:ascii="仿宋" w:hAnsi="仿宋" w:eastAsia="仿宋"/>
                <w:bCs/>
                <w:kern w:val="0"/>
                <w:sz w:val="21"/>
                <w:szCs w:val="21"/>
              </w:rPr>
              <w:t>-204.93</w:t>
            </w:r>
          </w:p>
        </w:tc>
      </w:tr>
      <w:tr w14:paraId="3B83EF9E">
        <w:tblPrEx>
          <w:tblCellMar>
            <w:top w:w="0" w:type="dxa"/>
            <w:left w:w="0" w:type="dxa"/>
            <w:bottom w:w="0" w:type="dxa"/>
            <w:right w:w="0" w:type="dxa"/>
          </w:tblCellMar>
        </w:tblPrEx>
        <w:trPr>
          <w:trHeight w:val="454" w:hRule="atLeast"/>
          <w:jc w:val="center"/>
        </w:trPr>
        <w:tc>
          <w:tcPr>
            <w:tcW w:w="1072" w:type="dxa"/>
            <w:vMerge w:val="continue"/>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BC7D11D">
            <w:pPr>
              <w:widowControl/>
              <w:jc w:val="center"/>
              <w:rPr>
                <w:rFonts w:ascii="仿宋" w:hAnsi="仿宋" w:eastAsia="仿宋"/>
                <w:bCs/>
                <w:kern w:val="0"/>
                <w:sz w:val="21"/>
                <w:szCs w:val="21"/>
              </w:rPr>
            </w:pPr>
          </w:p>
        </w:tc>
        <w:tc>
          <w:tcPr>
            <w:tcW w:w="7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C80F286">
            <w:pPr>
              <w:widowControl/>
              <w:jc w:val="center"/>
              <w:rPr>
                <w:rFonts w:ascii="仿宋" w:hAnsi="仿宋" w:eastAsia="仿宋"/>
                <w:bCs/>
                <w:kern w:val="0"/>
                <w:sz w:val="21"/>
                <w:szCs w:val="21"/>
              </w:rPr>
            </w:pPr>
            <w:r>
              <w:rPr>
                <w:rFonts w:hint="eastAsia" w:ascii="仿宋" w:hAnsi="仿宋" w:eastAsia="仿宋"/>
                <w:bCs/>
                <w:kern w:val="0"/>
                <w:sz w:val="21"/>
                <w:szCs w:val="21"/>
              </w:rPr>
              <w:t>公车购置</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06CABB8">
            <w:pPr>
              <w:widowControl/>
              <w:jc w:val="center"/>
              <w:rPr>
                <w:rFonts w:ascii="仿宋" w:hAnsi="仿宋" w:eastAsia="仿宋"/>
                <w:bCs/>
                <w:kern w:val="0"/>
                <w:sz w:val="21"/>
                <w:szCs w:val="21"/>
              </w:rPr>
            </w:pPr>
            <w:r>
              <w:rPr>
                <w:rFonts w:hint="eastAsia" w:ascii="仿宋" w:hAnsi="仿宋" w:eastAsia="仿宋"/>
                <w:bCs/>
                <w:kern w:val="0"/>
                <w:sz w:val="21"/>
                <w:szCs w:val="21"/>
              </w:rPr>
              <w:t>117</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CA5A3BB">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36E73C">
            <w:pPr>
              <w:widowControl/>
              <w:jc w:val="center"/>
              <w:rPr>
                <w:rFonts w:ascii="仿宋" w:hAnsi="仿宋" w:eastAsia="仿宋"/>
                <w:bCs/>
                <w:kern w:val="0"/>
                <w:sz w:val="21"/>
                <w:szCs w:val="21"/>
              </w:rPr>
            </w:pPr>
            <w:r>
              <w:rPr>
                <w:rFonts w:hint="eastAsia" w:ascii="仿宋" w:hAnsi="仿宋" w:eastAsia="仿宋"/>
                <w:bCs/>
                <w:kern w:val="0"/>
                <w:sz w:val="21"/>
                <w:szCs w:val="21"/>
              </w:rPr>
              <w:t>7.66</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DEAB6E">
            <w:pPr>
              <w:widowControl/>
              <w:jc w:val="center"/>
              <w:rPr>
                <w:rFonts w:ascii="仿宋" w:hAnsi="仿宋" w:eastAsia="仿宋"/>
                <w:bCs/>
                <w:kern w:val="0"/>
                <w:sz w:val="21"/>
                <w:szCs w:val="21"/>
              </w:rPr>
            </w:pPr>
            <w:r>
              <w:rPr>
                <w:rFonts w:hint="eastAsia" w:ascii="仿宋" w:hAnsi="仿宋" w:eastAsia="仿宋"/>
                <w:bCs/>
                <w:kern w:val="0"/>
                <w:sz w:val="21"/>
                <w:szCs w:val="21"/>
              </w:rPr>
              <w:t>117</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FBCBA06">
            <w:pPr>
              <w:widowControl/>
              <w:jc w:val="center"/>
              <w:rPr>
                <w:rFonts w:ascii="仿宋" w:hAnsi="仿宋" w:eastAsia="仿宋"/>
                <w:bCs/>
                <w:kern w:val="0"/>
                <w:sz w:val="21"/>
                <w:szCs w:val="21"/>
              </w:rPr>
            </w:pPr>
            <w:r>
              <w:rPr>
                <w:rFonts w:hint="eastAsia" w:ascii="仿宋" w:hAnsi="仿宋" w:eastAsia="仿宋"/>
                <w:bCs/>
                <w:kern w:val="0"/>
                <w:sz w:val="21"/>
                <w:szCs w:val="21"/>
              </w:rPr>
              <w:t>109.34</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932CFF">
            <w:pPr>
              <w:widowControl/>
              <w:jc w:val="center"/>
              <w:rPr>
                <w:rFonts w:ascii="仿宋" w:hAnsi="仿宋" w:eastAsia="仿宋"/>
                <w:bCs/>
                <w:kern w:val="0"/>
                <w:sz w:val="21"/>
                <w:szCs w:val="21"/>
              </w:rPr>
            </w:pPr>
            <w:r>
              <w:rPr>
                <w:rFonts w:hint="eastAsia" w:ascii="仿宋" w:hAnsi="仿宋" w:eastAsia="仿宋"/>
                <w:bCs/>
                <w:kern w:val="0"/>
                <w:sz w:val="21"/>
                <w:szCs w:val="21"/>
              </w:rPr>
              <w:t>-117</w:t>
            </w:r>
          </w:p>
        </w:tc>
      </w:tr>
      <w:tr w14:paraId="5A6B3653">
        <w:tblPrEx>
          <w:tblCellMar>
            <w:top w:w="0" w:type="dxa"/>
            <w:left w:w="0" w:type="dxa"/>
            <w:bottom w:w="0" w:type="dxa"/>
            <w:right w:w="0" w:type="dxa"/>
          </w:tblCellMar>
        </w:tblPrEx>
        <w:trPr>
          <w:trHeight w:val="454" w:hRule="atLeast"/>
          <w:jc w:val="center"/>
        </w:trPr>
        <w:tc>
          <w:tcPr>
            <w:tcW w:w="181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1FF062E">
            <w:pPr>
              <w:widowControl/>
              <w:jc w:val="center"/>
              <w:rPr>
                <w:rFonts w:ascii="仿宋" w:hAnsi="仿宋" w:eastAsia="仿宋"/>
                <w:bCs/>
                <w:kern w:val="0"/>
                <w:sz w:val="21"/>
                <w:szCs w:val="21"/>
              </w:rPr>
            </w:pPr>
            <w:r>
              <w:rPr>
                <w:rFonts w:hint="eastAsia" w:ascii="仿宋" w:hAnsi="仿宋" w:eastAsia="仿宋"/>
                <w:bCs/>
                <w:kern w:val="0"/>
                <w:sz w:val="21"/>
                <w:szCs w:val="21"/>
              </w:rPr>
              <w:t>因公出国</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9C45E58">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34D79AA">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E86D856">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23D70A">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4DAD949">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D9A6E35">
            <w:pPr>
              <w:widowControl/>
              <w:jc w:val="center"/>
              <w:rPr>
                <w:rFonts w:ascii="仿宋" w:hAnsi="仿宋" w:eastAsia="仿宋"/>
                <w:bCs/>
                <w:kern w:val="0"/>
                <w:sz w:val="21"/>
                <w:szCs w:val="21"/>
              </w:rPr>
            </w:pPr>
            <w:r>
              <w:rPr>
                <w:rFonts w:hint="eastAsia" w:ascii="仿宋" w:hAnsi="仿宋" w:eastAsia="仿宋"/>
                <w:bCs/>
                <w:kern w:val="0"/>
                <w:sz w:val="21"/>
                <w:szCs w:val="21"/>
              </w:rPr>
              <w:t>0</w:t>
            </w:r>
          </w:p>
        </w:tc>
      </w:tr>
      <w:tr w14:paraId="478534B7">
        <w:tblPrEx>
          <w:tblCellMar>
            <w:top w:w="0" w:type="dxa"/>
            <w:left w:w="0" w:type="dxa"/>
            <w:bottom w:w="0" w:type="dxa"/>
            <w:right w:w="0" w:type="dxa"/>
          </w:tblCellMar>
        </w:tblPrEx>
        <w:trPr>
          <w:trHeight w:val="454" w:hRule="atLeast"/>
          <w:jc w:val="center"/>
        </w:trPr>
        <w:tc>
          <w:tcPr>
            <w:tcW w:w="181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186EFF">
            <w:pPr>
              <w:widowControl/>
              <w:jc w:val="center"/>
              <w:rPr>
                <w:rFonts w:ascii="仿宋" w:hAnsi="仿宋" w:eastAsia="仿宋"/>
                <w:bCs/>
                <w:kern w:val="0"/>
                <w:sz w:val="21"/>
                <w:szCs w:val="21"/>
              </w:rPr>
            </w:pPr>
            <w:r>
              <w:rPr>
                <w:rFonts w:hint="eastAsia" w:ascii="仿宋" w:hAnsi="仿宋" w:eastAsia="仿宋"/>
                <w:bCs/>
                <w:kern w:val="0"/>
                <w:sz w:val="21"/>
                <w:szCs w:val="21"/>
              </w:rPr>
              <w:t>合  计</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9A2FF7">
            <w:pPr>
              <w:widowControl/>
              <w:jc w:val="center"/>
              <w:rPr>
                <w:rFonts w:ascii="仿宋" w:hAnsi="仿宋" w:eastAsia="仿宋"/>
                <w:bCs/>
                <w:kern w:val="0"/>
                <w:sz w:val="21"/>
                <w:szCs w:val="21"/>
              </w:rPr>
            </w:pPr>
            <w:r>
              <w:rPr>
                <w:rFonts w:hint="eastAsia" w:ascii="仿宋" w:hAnsi="仿宋" w:eastAsia="仿宋"/>
                <w:bCs/>
                <w:kern w:val="0"/>
                <w:sz w:val="21"/>
                <w:szCs w:val="21"/>
              </w:rPr>
              <w:t>336</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057EBA4">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00BB02E">
            <w:pPr>
              <w:widowControl/>
              <w:jc w:val="center"/>
              <w:rPr>
                <w:rFonts w:ascii="仿宋" w:hAnsi="仿宋" w:eastAsia="仿宋"/>
                <w:bCs/>
                <w:kern w:val="0"/>
                <w:sz w:val="21"/>
                <w:szCs w:val="21"/>
              </w:rPr>
            </w:pPr>
            <w:r>
              <w:rPr>
                <w:rFonts w:hint="eastAsia" w:ascii="仿宋" w:hAnsi="仿宋" w:eastAsia="仿宋"/>
                <w:bCs/>
                <w:kern w:val="0"/>
                <w:sz w:val="21"/>
                <w:szCs w:val="21"/>
              </w:rPr>
              <w:t>49.93</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138F405">
            <w:pPr>
              <w:widowControl/>
              <w:jc w:val="center"/>
              <w:rPr>
                <w:rFonts w:ascii="仿宋" w:hAnsi="仿宋" w:eastAsia="仿宋"/>
                <w:bCs/>
                <w:kern w:val="0"/>
                <w:sz w:val="21"/>
                <w:szCs w:val="21"/>
              </w:rPr>
            </w:pPr>
            <w:r>
              <w:rPr>
                <w:rFonts w:hint="eastAsia" w:ascii="仿宋" w:hAnsi="仿宋" w:eastAsia="仿宋"/>
                <w:bCs/>
                <w:kern w:val="0"/>
                <w:sz w:val="21"/>
                <w:szCs w:val="21"/>
              </w:rPr>
              <w:t>321.93</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4EBDE5E">
            <w:pPr>
              <w:widowControl/>
              <w:jc w:val="center"/>
              <w:rPr>
                <w:rFonts w:ascii="仿宋" w:hAnsi="仿宋" w:eastAsia="仿宋"/>
                <w:bCs/>
                <w:kern w:val="0"/>
                <w:sz w:val="21"/>
                <w:szCs w:val="21"/>
              </w:rPr>
            </w:pPr>
            <w:r>
              <w:rPr>
                <w:rFonts w:hint="eastAsia" w:ascii="仿宋" w:hAnsi="仿宋" w:eastAsia="仿宋"/>
                <w:bCs/>
                <w:kern w:val="0"/>
                <w:sz w:val="21"/>
                <w:szCs w:val="21"/>
              </w:rPr>
              <w:t>286.07</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EEE38F3">
            <w:pPr>
              <w:widowControl/>
              <w:jc w:val="center"/>
              <w:rPr>
                <w:rFonts w:ascii="仿宋" w:hAnsi="仿宋" w:eastAsia="仿宋"/>
                <w:bCs/>
                <w:kern w:val="0"/>
                <w:sz w:val="21"/>
                <w:szCs w:val="21"/>
              </w:rPr>
            </w:pPr>
            <w:r>
              <w:rPr>
                <w:rFonts w:hint="eastAsia" w:ascii="仿宋" w:hAnsi="仿宋" w:eastAsia="仿宋"/>
                <w:bCs/>
                <w:kern w:val="0"/>
                <w:sz w:val="21"/>
                <w:szCs w:val="21"/>
              </w:rPr>
              <w:t>-321.93</w:t>
            </w:r>
          </w:p>
        </w:tc>
      </w:tr>
    </w:tbl>
    <w:p w14:paraId="3C225D24">
      <w:pPr>
        <w:widowControl/>
        <w:ind w:firstLine="560" w:firstLineChars="200"/>
        <w:rPr>
          <w:rFonts w:ascii="仿宋" w:hAnsi="仿宋" w:eastAsia="仿宋"/>
          <w:bCs/>
          <w:kern w:val="0"/>
          <w:sz w:val="28"/>
          <w:szCs w:val="28"/>
        </w:rPr>
      </w:pPr>
      <w:r>
        <w:rPr>
          <w:rFonts w:hint="eastAsia" w:ascii="仿宋" w:hAnsi="仿宋" w:eastAsia="仿宋"/>
          <w:bCs/>
          <w:kern w:val="0"/>
          <w:sz w:val="28"/>
          <w:szCs w:val="28"/>
        </w:rPr>
        <w:t>3、“三公”经费与上年对比情况（单位：万元）</w:t>
      </w:r>
    </w:p>
    <w:tbl>
      <w:tblPr>
        <w:tblStyle w:val="7"/>
        <w:tblW w:w="8282" w:type="dxa"/>
        <w:jc w:val="center"/>
        <w:tblLayout w:type="fixed"/>
        <w:tblCellMar>
          <w:top w:w="0" w:type="dxa"/>
          <w:left w:w="0" w:type="dxa"/>
          <w:bottom w:w="0" w:type="dxa"/>
          <w:right w:w="0" w:type="dxa"/>
        </w:tblCellMar>
      </w:tblPr>
      <w:tblGrid>
        <w:gridCol w:w="1524"/>
        <w:gridCol w:w="1162"/>
        <w:gridCol w:w="1650"/>
        <w:gridCol w:w="1650"/>
        <w:gridCol w:w="2296"/>
      </w:tblGrid>
      <w:tr w14:paraId="517B683D">
        <w:tblPrEx>
          <w:tblCellMar>
            <w:top w:w="0" w:type="dxa"/>
            <w:left w:w="0" w:type="dxa"/>
            <w:bottom w:w="0" w:type="dxa"/>
            <w:right w:w="0" w:type="dxa"/>
          </w:tblCellMar>
        </w:tblPrEx>
        <w:trPr>
          <w:trHeight w:val="510" w:hRule="atLeast"/>
          <w:jc w:val="center"/>
        </w:trPr>
        <w:tc>
          <w:tcPr>
            <w:tcW w:w="268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B25472A">
            <w:pPr>
              <w:widowControl/>
              <w:jc w:val="center"/>
              <w:rPr>
                <w:rFonts w:ascii="仿宋" w:hAnsi="仿宋" w:eastAsia="仿宋"/>
                <w:bCs/>
                <w:kern w:val="0"/>
                <w:sz w:val="21"/>
                <w:szCs w:val="21"/>
              </w:rPr>
            </w:pPr>
            <w:r>
              <w:rPr>
                <w:rFonts w:hint="eastAsia" w:ascii="仿宋" w:hAnsi="仿宋" w:eastAsia="仿宋"/>
                <w:bCs/>
                <w:kern w:val="0"/>
                <w:sz w:val="21"/>
                <w:szCs w:val="21"/>
              </w:rPr>
              <w:t>费用项目</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BE73CAE">
            <w:pPr>
              <w:widowControl/>
              <w:jc w:val="center"/>
              <w:rPr>
                <w:rFonts w:ascii="仿宋" w:hAnsi="仿宋" w:eastAsia="仿宋"/>
                <w:bCs/>
                <w:kern w:val="0"/>
                <w:sz w:val="21"/>
                <w:szCs w:val="21"/>
              </w:rPr>
            </w:pPr>
            <w:r>
              <w:rPr>
                <w:rFonts w:hint="eastAsia" w:ascii="仿宋" w:hAnsi="仿宋" w:eastAsia="仿宋"/>
                <w:bCs/>
                <w:kern w:val="0"/>
                <w:sz w:val="21"/>
                <w:szCs w:val="21"/>
              </w:rPr>
              <w:t>2022年决算数</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B8A3F12">
            <w:pPr>
              <w:widowControl/>
              <w:jc w:val="center"/>
              <w:rPr>
                <w:rFonts w:ascii="仿宋" w:hAnsi="仿宋" w:eastAsia="仿宋"/>
                <w:bCs/>
                <w:kern w:val="0"/>
                <w:sz w:val="21"/>
                <w:szCs w:val="21"/>
              </w:rPr>
            </w:pPr>
            <w:r>
              <w:rPr>
                <w:rFonts w:hint="eastAsia" w:ascii="仿宋" w:hAnsi="仿宋" w:eastAsia="仿宋"/>
                <w:bCs/>
                <w:kern w:val="0"/>
                <w:sz w:val="21"/>
                <w:szCs w:val="21"/>
              </w:rPr>
              <w:t>2023年决算数</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5E991E8">
            <w:pPr>
              <w:widowControl/>
              <w:jc w:val="center"/>
              <w:rPr>
                <w:rFonts w:ascii="仿宋" w:hAnsi="仿宋" w:eastAsia="仿宋"/>
                <w:bCs/>
                <w:kern w:val="0"/>
                <w:sz w:val="21"/>
                <w:szCs w:val="21"/>
              </w:rPr>
            </w:pPr>
            <w:r>
              <w:rPr>
                <w:rFonts w:hint="eastAsia" w:ascii="仿宋" w:hAnsi="仿宋" w:eastAsia="仿宋"/>
                <w:bCs/>
                <w:kern w:val="0"/>
                <w:sz w:val="21"/>
                <w:szCs w:val="21"/>
              </w:rPr>
              <w:t>增减情况（2023-2022）</w:t>
            </w:r>
          </w:p>
        </w:tc>
      </w:tr>
      <w:tr w14:paraId="7DF690ED">
        <w:tblPrEx>
          <w:tblCellMar>
            <w:top w:w="0" w:type="dxa"/>
            <w:left w:w="0" w:type="dxa"/>
            <w:bottom w:w="0" w:type="dxa"/>
            <w:right w:w="0" w:type="dxa"/>
          </w:tblCellMar>
        </w:tblPrEx>
        <w:trPr>
          <w:trHeight w:val="510" w:hRule="atLeast"/>
          <w:jc w:val="center"/>
        </w:trPr>
        <w:tc>
          <w:tcPr>
            <w:tcW w:w="268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510BCC2">
            <w:pPr>
              <w:widowControl/>
              <w:jc w:val="center"/>
              <w:rPr>
                <w:rFonts w:ascii="仿宋" w:hAnsi="仿宋" w:eastAsia="仿宋"/>
                <w:bCs/>
                <w:kern w:val="0"/>
                <w:sz w:val="21"/>
                <w:szCs w:val="21"/>
              </w:rPr>
            </w:pPr>
            <w:r>
              <w:rPr>
                <w:rFonts w:hint="eastAsia" w:ascii="仿宋" w:hAnsi="仿宋" w:eastAsia="仿宋"/>
                <w:bCs/>
                <w:kern w:val="0"/>
                <w:sz w:val="21"/>
                <w:szCs w:val="21"/>
              </w:rPr>
              <w:t>公务接待费</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82639FD">
            <w:pPr>
              <w:widowControl/>
              <w:jc w:val="center"/>
              <w:rPr>
                <w:rFonts w:ascii="仿宋" w:hAnsi="仿宋" w:eastAsia="仿宋"/>
                <w:bCs/>
                <w:kern w:val="0"/>
                <w:sz w:val="21"/>
                <w:szCs w:val="21"/>
              </w:rPr>
            </w:pPr>
            <w:r>
              <w:rPr>
                <w:rFonts w:hint="eastAsia" w:ascii="仿宋" w:hAnsi="仿宋" w:eastAsia="仿宋"/>
                <w:bCs/>
                <w:kern w:val="0"/>
                <w:sz w:val="21"/>
                <w:szCs w:val="21"/>
              </w:rPr>
              <w:t>0.48</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E16B03">
            <w:pPr>
              <w:widowControl/>
              <w:jc w:val="center"/>
              <w:rPr>
                <w:rFonts w:ascii="仿宋" w:hAnsi="仿宋" w:eastAsia="仿宋"/>
                <w:bCs/>
                <w:kern w:val="0"/>
                <w:sz w:val="21"/>
                <w:szCs w:val="21"/>
              </w:rPr>
            </w:pPr>
            <w:r>
              <w:rPr>
                <w:rFonts w:hint="eastAsia" w:ascii="仿宋" w:hAnsi="仿宋" w:eastAsia="仿宋"/>
                <w:bCs/>
                <w:kern w:val="0"/>
                <w:sz w:val="21"/>
                <w:szCs w:val="21"/>
              </w:rPr>
              <w:t>1.09</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BC82F83">
            <w:pPr>
              <w:widowControl/>
              <w:jc w:val="center"/>
              <w:rPr>
                <w:rFonts w:ascii="仿宋" w:hAnsi="仿宋" w:eastAsia="仿宋"/>
                <w:bCs/>
                <w:kern w:val="0"/>
                <w:sz w:val="21"/>
                <w:szCs w:val="21"/>
              </w:rPr>
            </w:pPr>
            <w:r>
              <w:rPr>
                <w:rFonts w:hint="eastAsia" w:ascii="仿宋" w:hAnsi="仿宋" w:eastAsia="仿宋"/>
                <w:bCs/>
                <w:kern w:val="0"/>
                <w:sz w:val="21"/>
                <w:szCs w:val="21"/>
              </w:rPr>
              <w:t>0.62</w:t>
            </w:r>
          </w:p>
        </w:tc>
      </w:tr>
      <w:tr w14:paraId="025DF3E3">
        <w:tblPrEx>
          <w:tblCellMar>
            <w:top w:w="0" w:type="dxa"/>
            <w:left w:w="0" w:type="dxa"/>
            <w:bottom w:w="0" w:type="dxa"/>
            <w:right w:w="0" w:type="dxa"/>
          </w:tblCellMar>
        </w:tblPrEx>
        <w:trPr>
          <w:trHeight w:val="510" w:hRule="atLeast"/>
          <w:jc w:val="center"/>
        </w:trPr>
        <w:tc>
          <w:tcPr>
            <w:tcW w:w="1524"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92CB3B3">
            <w:pPr>
              <w:widowControl/>
              <w:jc w:val="center"/>
              <w:rPr>
                <w:rFonts w:ascii="仿宋" w:hAnsi="仿宋" w:eastAsia="仿宋"/>
                <w:bCs/>
                <w:kern w:val="0"/>
                <w:sz w:val="21"/>
                <w:szCs w:val="21"/>
              </w:rPr>
            </w:pPr>
            <w:r>
              <w:rPr>
                <w:rFonts w:hint="eastAsia" w:ascii="仿宋" w:hAnsi="仿宋" w:eastAsia="仿宋"/>
                <w:bCs/>
                <w:kern w:val="0"/>
                <w:sz w:val="21"/>
                <w:szCs w:val="21"/>
              </w:rPr>
              <w:t>公务用车购置及运行费</w:t>
            </w:r>
          </w:p>
        </w:tc>
        <w:tc>
          <w:tcPr>
            <w:tcW w:w="11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146D0F4">
            <w:pPr>
              <w:widowControl/>
              <w:jc w:val="center"/>
              <w:rPr>
                <w:rFonts w:ascii="仿宋" w:hAnsi="仿宋" w:eastAsia="仿宋"/>
                <w:bCs/>
                <w:kern w:val="0"/>
                <w:sz w:val="21"/>
                <w:szCs w:val="21"/>
              </w:rPr>
            </w:pPr>
            <w:r>
              <w:rPr>
                <w:rFonts w:hint="eastAsia" w:ascii="仿宋" w:hAnsi="仿宋" w:eastAsia="仿宋"/>
                <w:bCs/>
                <w:kern w:val="0"/>
                <w:sz w:val="21"/>
                <w:szCs w:val="21"/>
              </w:rPr>
              <w:t>公车运行维护费</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0C787D6">
            <w:pPr>
              <w:widowControl/>
              <w:jc w:val="center"/>
              <w:rPr>
                <w:rFonts w:ascii="仿宋" w:hAnsi="仿宋" w:eastAsia="仿宋"/>
                <w:bCs/>
                <w:kern w:val="0"/>
                <w:sz w:val="21"/>
                <w:szCs w:val="21"/>
              </w:rPr>
            </w:pPr>
            <w:r>
              <w:rPr>
                <w:rFonts w:hint="eastAsia" w:ascii="仿宋" w:hAnsi="仿宋" w:eastAsia="仿宋"/>
                <w:bCs/>
                <w:kern w:val="0"/>
                <w:sz w:val="21"/>
                <w:szCs w:val="21"/>
              </w:rPr>
              <w:t>225.87</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B529898">
            <w:pPr>
              <w:widowControl/>
              <w:jc w:val="center"/>
              <w:rPr>
                <w:rFonts w:ascii="仿宋" w:hAnsi="仿宋" w:eastAsia="仿宋"/>
                <w:bCs/>
                <w:kern w:val="0"/>
                <w:sz w:val="21"/>
                <w:szCs w:val="21"/>
              </w:rPr>
            </w:pPr>
            <w:r>
              <w:rPr>
                <w:rFonts w:hint="eastAsia" w:ascii="仿宋" w:hAnsi="仿宋" w:eastAsia="仿宋"/>
                <w:bCs/>
                <w:kern w:val="0"/>
                <w:sz w:val="21"/>
                <w:szCs w:val="21"/>
              </w:rPr>
              <w:t>246.11</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54133C5">
            <w:pPr>
              <w:widowControl/>
              <w:jc w:val="center"/>
              <w:rPr>
                <w:rFonts w:ascii="仿宋" w:hAnsi="仿宋" w:eastAsia="仿宋"/>
                <w:bCs/>
                <w:kern w:val="0"/>
                <w:sz w:val="21"/>
                <w:szCs w:val="21"/>
              </w:rPr>
            </w:pPr>
            <w:r>
              <w:rPr>
                <w:rFonts w:hint="eastAsia" w:ascii="仿宋" w:hAnsi="仿宋" w:eastAsia="仿宋"/>
                <w:bCs/>
                <w:kern w:val="0"/>
                <w:sz w:val="21"/>
                <w:szCs w:val="21"/>
              </w:rPr>
              <w:t>20.24</w:t>
            </w:r>
          </w:p>
        </w:tc>
      </w:tr>
      <w:tr w14:paraId="069BBAA0">
        <w:tblPrEx>
          <w:tblCellMar>
            <w:top w:w="0" w:type="dxa"/>
            <w:left w:w="0" w:type="dxa"/>
            <w:bottom w:w="0" w:type="dxa"/>
            <w:right w:w="0" w:type="dxa"/>
          </w:tblCellMar>
        </w:tblPrEx>
        <w:trPr>
          <w:trHeight w:val="510" w:hRule="atLeast"/>
          <w:jc w:val="center"/>
        </w:trPr>
        <w:tc>
          <w:tcPr>
            <w:tcW w:w="1524" w:type="dxa"/>
            <w:vMerge w:val="continue"/>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400D62D">
            <w:pPr>
              <w:widowControl/>
              <w:jc w:val="center"/>
              <w:rPr>
                <w:rFonts w:ascii="仿宋" w:hAnsi="仿宋" w:eastAsia="仿宋"/>
                <w:bCs/>
                <w:kern w:val="0"/>
                <w:sz w:val="21"/>
                <w:szCs w:val="21"/>
              </w:rPr>
            </w:pPr>
          </w:p>
        </w:tc>
        <w:tc>
          <w:tcPr>
            <w:tcW w:w="11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2E48C19">
            <w:pPr>
              <w:widowControl/>
              <w:jc w:val="center"/>
              <w:rPr>
                <w:rFonts w:ascii="仿宋" w:hAnsi="仿宋" w:eastAsia="仿宋"/>
                <w:bCs/>
                <w:kern w:val="0"/>
                <w:sz w:val="21"/>
                <w:szCs w:val="21"/>
              </w:rPr>
            </w:pPr>
            <w:r>
              <w:rPr>
                <w:rFonts w:hint="eastAsia" w:ascii="仿宋" w:hAnsi="仿宋" w:eastAsia="仿宋"/>
                <w:bCs/>
                <w:kern w:val="0"/>
                <w:sz w:val="21"/>
                <w:szCs w:val="21"/>
              </w:rPr>
              <w:t>公务车购置费</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BC36F50">
            <w:pPr>
              <w:widowControl/>
              <w:jc w:val="center"/>
              <w:rPr>
                <w:rFonts w:ascii="仿宋" w:hAnsi="仿宋" w:eastAsia="仿宋"/>
                <w:bCs/>
                <w:kern w:val="0"/>
                <w:sz w:val="21"/>
                <w:szCs w:val="21"/>
              </w:rPr>
            </w:pPr>
            <w:r>
              <w:rPr>
                <w:rFonts w:hint="eastAsia" w:ascii="仿宋" w:hAnsi="仿宋" w:eastAsia="仿宋"/>
                <w:bCs/>
                <w:kern w:val="0"/>
                <w:sz w:val="21"/>
                <w:szCs w:val="21"/>
              </w:rPr>
              <w:t>190.2</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6FE860B">
            <w:pPr>
              <w:widowControl/>
              <w:jc w:val="center"/>
              <w:rPr>
                <w:rFonts w:ascii="仿宋" w:hAnsi="仿宋" w:eastAsia="仿宋"/>
                <w:bCs/>
                <w:kern w:val="0"/>
                <w:sz w:val="21"/>
                <w:szCs w:val="21"/>
              </w:rPr>
            </w:pPr>
            <w:r>
              <w:rPr>
                <w:rFonts w:hint="eastAsia" w:ascii="仿宋" w:hAnsi="仿宋" w:eastAsia="仿宋"/>
                <w:bCs/>
                <w:kern w:val="0"/>
                <w:sz w:val="21"/>
                <w:szCs w:val="21"/>
              </w:rPr>
              <w:t>124.66</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1DC88A7">
            <w:pPr>
              <w:widowControl/>
              <w:jc w:val="center"/>
              <w:rPr>
                <w:rFonts w:ascii="仿宋" w:hAnsi="仿宋" w:eastAsia="仿宋"/>
                <w:bCs/>
                <w:kern w:val="0"/>
                <w:sz w:val="21"/>
                <w:szCs w:val="21"/>
              </w:rPr>
            </w:pPr>
            <w:r>
              <w:rPr>
                <w:rFonts w:hint="eastAsia" w:ascii="仿宋" w:hAnsi="仿宋" w:eastAsia="仿宋"/>
                <w:bCs/>
                <w:kern w:val="0"/>
                <w:sz w:val="21"/>
                <w:szCs w:val="21"/>
              </w:rPr>
              <w:t>-65.54</w:t>
            </w:r>
          </w:p>
        </w:tc>
      </w:tr>
      <w:tr w14:paraId="68DAD656">
        <w:tblPrEx>
          <w:tblCellMar>
            <w:top w:w="0" w:type="dxa"/>
            <w:left w:w="0" w:type="dxa"/>
            <w:bottom w:w="0" w:type="dxa"/>
            <w:right w:w="0" w:type="dxa"/>
          </w:tblCellMar>
        </w:tblPrEx>
        <w:trPr>
          <w:trHeight w:val="510" w:hRule="atLeast"/>
          <w:jc w:val="center"/>
        </w:trPr>
        <w:tc>
          <w:tcPr>
            <w:tcW w:w="268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29E0B38">
            <w:pPr>
              <w:widowControl/>
              <w:jc w:val="center"/>
              <w:rPr>
                <w:rFonts w:ascii="仿宋" w:hAnsi="仿宋" w:eastAsia="仿宋"/>
                <w:bCs/>
                <w:kern w:val="0"/>
                <w:sz w:val="21"/>
                <w:szCs w:val="21"/>
              </w:rPr>
            </w:pPr>
            <w:r>
              <w:rPr>
                <w:rFonts w:hint="eastAsia" w:ascii="仿宋" w:hAnsi="仿宋" w:eastAsia="仿宋"/>
                <w:bCs/>
                <w:kern w:val="0"/>
                <w:sz w:val="21"/>
                <w:szCs w:val="21"/>
              </w:rPr>
              <w:t>因公出国费用</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220D284">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F546D0F">
            <w:pPr>
              <w:widowControl/>
              <w:jc w:val="center"/>
              <w:rPr>
                <w:rFonts w:ascii="仿宋" w:hAnsi="仿宋" w:eastAsia="仿宋"/>
                <w:bCs/>
                <w:kern w:val="0"/>
                <w:sz w:val="21"/>
                <w:szCs w:val="21"/>
              </w:rPr>
            </w:pPr>
            <w:r>
              <w:rPr>
                <w:rFonts w:hint="eastAsia" w:ascii="仿宋" w:hAnsi="仿宋" w:eastAsia="仿宋"/>
                <w:bCs/>
                <w:kern w:val="0"/>
                <w:sz w:val="21"/>
                <w:szCs w:val="21"/>
              </w:rPr>
              <w:t>0</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62DEC7">
            <w:pPr>
              <w:widowControl/>
              <w:jc w:val="center"/>
              <w:rPr>
                <w:rFonts w:ascii="仿宋" w:hAnsi="仿宋" w:eastAsia="仿宋"/>
                <w:bCs/>
                <w:kern w:val="0"/>
                <w:sz w:val="21"/>
                <w:szCs w:val="21"/>
              </w:rPr>
            </w:pPr>
            <w:r>
              <w:rPr>
                <w:rFonts w:hint="eastAsia" w:ascii="仿宋" w:hAnsi="仿宋" w:eastAsia="仿宋"/>
                <w:bCs/>
                <w:kern w:val="0"/>
                <w:sz w:val="21"/>
                <w:szCs w:val="21"/>
              </w:rPr>
              <w:t>0</w:t>
            </w:r>
          </w:p>
        </w:tc>
      </w:tr>
      <w:tr w14:paraId="068B38ED">
        <w:tblPrEx>
          <w:tblCellMar>
            <w:top w:w="0" w:type="dxa"/>
            <w:left w:w="0" w:type="dxa"/>
            <w:bottom w:w="0" w:type="dxa"/>
            <w:right w:w="0" w:type="dxa"/>
          </w:tblCellMar>
        </w:tblPrEx>
        <w:trPr>
          <w:trHeight w:val="510" w:hRule="atLeast"/>
          <w:jc w:val="center"/>
        </w:trPr>
        <w:tc>
          <w:tcPr>
            <w:tcW w:w="268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0B39F45">
            <w:pPr>
              <w:widowControl/>
              <w:jc w:val="center"/>
              <w:rPr>
                <w:rFonts w:ascii="仿宋" w:hAnsi="仿宋" w:eastAsia="仿宋"/>
                <w:bCs/>
                <w:kern w:val="0"/>
                <w:sz w:val="21"/>
                <w:szCs w:val="21"/>
              </w:rPr>
            </w:pPr>
            <w:r>
              <w:rPr>
                <w:rFonts w:hint="eastAsia" w:ascii="仿宋" w:hAnsi="仿宋" w:eastAsia="仿宋"/>
                <w:bCs/>
                <w:kern w:val="0"/>
                <w:sz w:val="21"/>
                <w:szCs w:val="21"/>
              </w:rPr>
              <w:t>合  计</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5FFB7DD">
            <w:pPr>
              <w:widowControl/>
              <w:jc w:val="center"/>
              <w:rPr>
                <w:rFonts w:ascii="仿宋" w:hAnsi="仿宋" w:eastAsia="仿宋"/>
                <w:bCs/>
                <w:kern w:val="0"/>
                <w:sz w:val="21"/>
                <w:szCs w:val="21"/>
              </w:rPr>
            </w:pPr>
            <w:r>
              <w:rPr>
                <w:rFonts w:hint="eastAsia" w:ascii="仿宋" w:hAnsi="仿宋" w:eastAsia="仿宋"/>
                <w:bCs/>
                <w:kern w:val="0"/>
                <w:sz w:val="21"/>
                <w:szCs w:val="21"/>
              </w:rPr>
              <w:t>416.55</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942D3EE">
            <w:pPr>
              <w:widowControl/>
              <w:jc w:val="center"/>
              <w:rPr>
                <w:rFonts w:ascii="仿宋" w:hAnsi="仿宋" w:eastAsia="仿宋"/>
                <w:bCs/>
                <w:kern w:val="0"/>
                <w:sz w:val="21"/>
                <w:szCs w:val="21"/>
              </w:rPr>
            </w:pPr>
            <w:r>
              <w:rPr>
                <w:rFonts w:hint="eastAsia" w:ascii="仿宋" w:hAnsi="仿宋" w:eastAsia="仿宋"/>
                <w:bCs/>
                <w:kern w:val="0"/>
                <w:sz w:val="21"/>
                <w:szCs w:val="21"/>
              </w:rPr>
              <w:t>371.86</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4C323E0">
            <w:pPr>
              <w:widowControl/>
              <w:jc w:val="center"/>
              <w:rPr>
                <w:rFonts w:ascii="仿宋" w:hAnsi="仿宋" w:eastAsia="仿宋"/>
                <w:bCs/>
                <w:kern w:val="0"/>
                <w:sz w:val="21"/>
                <w:szCs w:val="21"/>
              </w:rPr>
            </w:pPr>
            <w:r>
              <w:rPr>
                <w:rFonts w:hint="eastAsia" w:ascii="仿宋" w:hAnsi="仿宋" w:eastAsia="仿宋"/>
                <w:bCs/>
                <w:kern w:val="0"/>
                <w:sz w:val="21"/>
                <w:szCs w:val="21"/>
              </w:rPr>
              <w:t>-44.69</w:t>
            </w:r>
          </w:p>
        </w:tc>
      </w:tr>
    </w:tbl>
    <w:p w14:paraId="71FC1496">
      <w:pPr>
        <w:snapToGrid w:val="0"/>
        <w:spacing w:line="520" w:lineRule="exact"/>
        <w:ind w:firstLine="560" w:firstLineChars="200"/>
        <w:rPr>
          <w:rFonts w:ascii="仿宋" w:hAnsi="仿宋" w:eastAsia="仿宋"/>
          <w:bCs/>
          <w:sz w:val="28"/>
          <w:szCs w:val="28"/>
        </w:rPr>
      </w:pPr>
      <w:r>
        <w:rPr>
          <w:rFonts w:hint="eastAsia" w:ascii="仿宋" w:hAnsi="仿宋" w:eastAsia="仿宋"/>
          <w:bCs/>
          <w:sz w:val="28"/>
          <w:szCs w:val="28"/>
        </w:rPr>
        <w:t>2023年“三公”经费实际发生371.86万元，为年初预算336万元的110.67%，比去年同期416.55万元减少了44.69万元，减少10.73%。从上表可以看出，本年“三公”经费支出总体呈下降趋势，但其中公务用车运行费用上升幅度较大，系我单位2022年公车编制增多费用相应增多，单位车辆老化严重维修费用增多。</w:t>
      </w:r>
    </w:p>
    <w:p w14:paraId="76A67130">
      <w:pPr>
        <w:pStyle w:val="6"/>
        <w:shd w:val="clear" w:color="auto" w:fill="FFFFFF"/>
        <w:spacing w:before="0" w:beforeAutospacing="0" w:after="0" w:afterAutospacing="0"/>
        <w:ind w:firstLine="562" w:firstLineChars="200"/>
        <w:rPr>
          <w:rFonts w:ascii="仿宋" w:hAnsi="仿宋" w:eastAsia="仿宋" w:cstheme="minorBidi"/>
          <w:b/>
          <w:bCs/>
          <w:kern w:val="2"/>
          <w:sz w:val="28"/>
          <w:szCs w:val="28"/>
        </w:rPr>
      </w:pPr>
      <w:r>
        <w:rPr>
          <w:rFonts w:hint="eastAsia" w:ascii="仿宋" w:hAnsi="仿宋" w:eastAsia="仿宋" w:cstheme="minorBidi"/>
          <w:b/>
          <w:bCs/>
          <w:kern w:val="2"/>
          <w:sz w:val="28"/>
          <w:szCs w:val="28"/>
        </w:rPr>
        <w:t>（三）基本支出资金使用管理情况</w:t>
      </w:r>
    </w:p>
    <w:p w14:paraId="752D2F04">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益阳市公安局交警支队20</w:t>
      </w:r>
      <w:r>
        <w:rPr>
          <w:rFonts w:hint="eastAsia" w:ascii="仿宋" w:hAnsi="仿宋" w:eastAsia="仿宋"/>
          <w:sz w:val="28"/>
          <w:szCs w:val="28"/>
        </w:rPr>
        <w:t>23</w:t>
      </w:r>
      <w:r>
        <w:rPr>
          <w:rFonts w:hint="eastAsia" w:ascii="仿宋" w:hAnsi="仿宋" w:eastAsia="仿宋"/>
          <w:sz w:val="28"/>
          <w:szCs w:val="28"/>
          <w:lang w:val="zh-CN"/>
        </w:rPr>
        <w:t>年度基本支出决算金额未出现超支，在资金使用上，严格遵守各项财经法规和财务管理制度规定，资金拨付有完整的审批程序和手续，支出符合部门预算批复的用途，无截留、挤占、挪用、虚列支出等情况。为了搞好部门整体支出管理工作，交警支队采取了以下措施：</w:t>
      </w:r>
    </w:p>
    <w:p w14:paraId="42996D78">
      <w:pPr>
        <w:autoSpaceDE w:val="0"/>
        <w:autoSpaceDN w:val="0"/>
        <w:ind w:firstLine="560" w:firstLineChars="200"/>
        <w:rPr>
          <w:rFonts w:ascii="仿宋" w:hAnsi="仿宋" w:eastAsia="仿宋" w:cs="宋体"/>
          <w:kern w:val="0"/>
          <w:sz w:val="24"/>
          <w:szCs w:val="24"/>
        </w:rPr>
      </w:pPr>
      <w:r>
        <w:rPr>
          <w:rFonts w:hint="eastAsia" w:ascii="仿宋" w:hAnsi="仿宋" w:eastAsia="仿宋"/>
          <w:sz w:val="28"/>
          <w:szCs w:val="28"/>
          <w:lang w:val="zh-CN"/>
        </w:rPr>
        <w:t>（1）加强内部管理制度建设，支队</w:t>
      </w:r>
      <w:r>
        <w:rPr>
          <w:rFonts w:hint="eastAsia" w:ascii="仿宋" w:hAnsi="仿宋" w:eastAsia="仿宋"/>
          <w:sz w:val="28"/>
          <w:szCs w:val="28"/>
        </w:rPr>
        <w:t>成立了内部控制领导小组，</w:t>
      </w:r>
      <w:r>
        <w:rPr>
          <w:rFonts w:hint="eastAsia" w:ascii="仿宋" w:hAnsi="仿宋" w:eastAsia="仿宋"/>
          <w:sz w:val="28"/>
          <w:szCs w:val="28"/>
          <w:lang w:val="zh-CN"/>
        </w:rPr>
        <w:t>制定了《项目建设专项资金管理规定》和《益阳市交警支队经费报销会审联签制度》等制度，通过制度明确了资金的使用范围，明确了责任人，完善了报账流程、规定与权限，严格报批、销审等手续，做好财务管理工作。</w:t>
      </w:r>
    </w:p>
    <w:p w14:paraId="6F726FC3">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2）加强部门预算管理，合理安排财政资金。增强行政成本意识，细化经费预算编制，在保证机关正常工作需要的人员经费和公用经费的前提下，严格控制“三公”经费支出和专项支出，各项支出遵照预算执行，确保支出与预算的对应衔接，着力提高预算执行力。</w:t>
      </w:r>
    </w:p>
    <w:p w14:paraId="12FC58B0">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3）加强“三公”经费管理，严控“三公”经费规模。在既有的制度办法基础上，严格按照年度计划指标控制使用，由支队行财科对“三公”经费设立台账，将“三公”经费严格纳入预算管理，严控“三公”经费支出。</w:t>
      </w:r>
    </w:p>
    <w:p w14:paraId="3C0DF5F4">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4）加强对公用支出中重点费用的管理。规范会议费、培训费、差旅费、办公费等费用开支标准，按照国家规定的标准和范围列支，坚持厉行节约的原则，控制和压缩办公经费支出，各项费用严格控制在预算额度内使用。</w:t>
      </w:r>
    </w:p>
    <w:p w14:paraId="3C3B5CC0">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5）重视对项目支出的管理。制定了《项目建设专项资金管理规定》，项目支出严格纳入经费预算，统筹安排使用专项资金，实行工程履约保证金制度，根据批复的预算严格控制各项支出，没有纳入预算的项目不能支出，确保资金运转规范有序。</w:t>
      </w:r>
    </w:p>
    <w:p w14:paraId="0CE8CC0D">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（6）规范大宗商品的购置管理。大宗商品购置执行预算管理制度，达到政府采购标准的商品购置，按照政府采购的要求和程序，依法实行政府采购。</w:t>
      </w:r>
    </w:p>
    <w:p w14:paraId="57B795A5">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（7）预决算信息公开。在规定的时间内对预、决算和“三公”经费进行公开。</w:t>
      </w:r>
    </w:p>
    <w:p w14:paraId="7762DB53">
      <w:pPr>
        <w:pStyle w:val="6"/>
        <w:shd w:val="clear" w:color="auto" w:fill="FFFFFF"/>
        <w:spacing w:before="0" w:beforeAutospacing="0" w:after="0" w:afterAutospacing="0"/>
        <w:ind w:firstLine="562" w:firstLineChars="200"/>
        <w:jc w:val="both"/>
        <w:rPr>
          <w:rFonts w:ascii="仿宋" w:hAnsi="仿宋" w:eastAsia="仿宋" w:cs="仿宋"/>
          <w:b/>
          <w:bCs/>
          <w:sz w:val="28"/>
          <w:szCs w:val="28"/>
        </w:rPr>
      </w:pPr>
      <w:r>
        <w:rPr>
          <w:rFonts w:hint="eastAsia" w:ascii="仿宋" w:hAnsi="仿宋" w:eastAsia="仿宋" w:cs="仿宋"/>
          <w:b/>
          <w:bCs/>
          <w:sz w:val="28"/>
          <w:szCs w:val="28"/>
          <w:shd w:val="clear" w:color="auto" w:fill="FFFFFF"/>
        </w:rPr>
        <w:t>（四）项目支出情况</w:t>
      </w:r>
    </w:p>
    <w:p w14:paraId="030577FB">
      <w:pPr>
        <w:pStyle w:val="6"/>
        <w:shd w:val="clear" w:color="auto" w:fill="FFFFFF"/>
        <w:spacing w:before="0" w:beforeAutospacing="0" w:after="0" w:afterAutospacing="0"/>
        <w:ind w:firstLine="560" w:firstLineChars="200"/>
        <w:jc w:val="both"/>
        <w:textAlignment w:val="center"/>
        <w:rPr>
          <w:rFonts w:ascii="仿宋" w:hAnsi="仿宋" w:eastAsia="仿宋" w:cs="仿宋"/>
          <w:spacing w:val="-2"/>
          <w:sz w:val="28"/>
          <w:szCs w:val="28"/>
          <w:shd w:val="clear" w:color="auto" w:fill="FFFFFF"/>
        </w:rPr>
      </w:pPr>
      <w:r>
        <w:rPr>
          <w:rFonts w:hint="eastAsia" w:ascii="仿宋" w:hAnsi="仿宋" w:eastAsia="仿宋" w:cs="仿宋"/>
          <w:sz w:val="28"/>
          <w:szCs w:val="28"/>
          <w:shd w:val="clear" w:color="auto" w:fill="FFFFFF"/>
        </w:rPr>
        <w:t>2023年度项目支出</w:t>
      </w:r>
      <w:r>
        <w:rPr>
          <w:rFonts w:hint="eastAsia" w:ascii="仿宋" w:hAnsi="仿宋" w:eastAsia="仿宋" w:cs="仿宋"/>
          <w:spacing w:val="-2"/>
          <w:sz w:val="28"/>
          <w:szCs w:val="28"/>
          <w:shd w:val="clear" w:color="auto" w:fill="FFFFFF"/>
        </w:rPr>
        <w:t>5461.32万</w:t>
      </w:r>
      <w:r>
        <w:rPr>
          <w:rFonts w:hint="eastAsia" w:ascii="仿宋" w:hAnsi="仿宋" w:eastAsia="仿宋" w:cs="仿宋"/>
          <w:sz w:val="28"/>
          <w:szCs w:val="28"/>
          <w:shd w:val="clear" w:color="auto" w:fill="FFFFFF"/>
        </w:rPr>
        <w:t>元，</w:t>
      </w:r>
      <w:r>
        <w:rPr>
          <w:rFonts w:hint="eastAsia" w:ascii="仿宋" w:hAnsi="仿宋" w:eastAsia="仿宋" w:cs="仿宋"/>
          <w:spacing w:val="-2"/>
          <w:sz w:val="28"/>
          <w:szCs w:val="28"/>
          <w:shd w:val="clear" w:color="auto" w:fill="FFFFFF"/>
        </w:rPr>
        <w:t>具体项目支出情况如下：</w:t>
      </w:r>
    </w:p>
    <w:p w14:paraId="27E0DF1A">
      <w:pPr>
        <w:pStyle w:val="6"/>
        <w:shd w:val="clear" w:color="auto" w:fill="FFFFFF"/>
        <w:spacing w:before="0" w:beforeAutospacing="0" w:after="0" w:afterAutospacing="0"/>
        <w:ind w:firstLine="552" w:firstLineChars="200"/>
        <w:jc w:val="both"/>
        <w:textAlignment w:val="center"/>
        <w:rPr>
          <w:rFonts w:ascii="仿宋" w:hAnsi="仿宋" w:eastAsia="仿宋" w:cs="仿宋"/>
          <w:spacing w:val="-2"/>
          <w:sz w:val="28"/>
          <w:szCs w:val="28"/>
          <w:shd w:val="clear" w:color="auto" w:fill="FFFFFF"/>
        </w:rPr>
      </w:pPr>
      <w:r>
        <w:rPr>
          <w:rFonts w:hint="eastAsia" w:ascii="仿宋" w:hAnsi="仿宋" w:eastAsia="仿宋" w:cs="仿宋"/>
          <w:spacing w:val="-2"/>
          <w:sz w:val="28"/>
          <w:szCs w:val="28"/>
          <w:shd w:val="clear" w:color="auto" w:fill="FFFFFF"/>
        </w:rPr>
        <w:t>1、智能交通（二期）项目171.26万元，占项目支出的3.14%；</w:t>
      </w:r>
    </w:p>
    <w:p w14:paraId="3B6FDE27">
      <w:pPr>
        <w:pStyle w:val="6"/>
        <w:shd w:val="clear" w:color="auto" w:fill="FFFFFF"/>
        <w:spacing w:before="0" w:beforeAutospacing="0" w:after="0" w:afterAutospacing="0"/>
        <w:ind w:firstLine="552" w:firstLineChars="200"/>
        <w:jc w:val="both"/>
        <w:textAlignment w:val="center"/>
        <w:rPr>
          <w:rFonts w:ascii="仿宋" w:hAnsi="仿宋" w:eastAsia="仿宋" w:cs="仿宋"/>
          <w:sz w:val="28"/>
          <w:szCs w:val="28"/>
        </w:rPr>
      </w:pPr>
      <w:r>
        <w:rPr>
          <w:rFonts w:hint="eastAsia" w:ascii="仿宋" w:hAnsi="仿宋" w:eastAsia="仿宋" w:cs="仿宋"/>
          <w:spacing w:val="-2"/>
          <w:sz w:val="28"/>
          <w:szCs w:val="28"/>
          <w:shd w:val="clear" w:color="auto" w:fill="FFFFFF"/>
        </w:rPr>
        <w:t>2、交通设施项目680.13万元，占项目支出的12.45%；</w:t>
      </w:r>
    </w:p>
    <w:p w14:paraId="2B0F6E2D">
      <w:pPr>
        <w:pStyle w:val="6"/>
        <w:shd w:val="clear" w:color="auto" w:fill="FFFFFF"/>
        <w:spacing w:before="0" w:beforeAutospacing="0" w:after="0" w:afterAutospacing="0"/>
        <w:ind w:firstLine="552" w:firstLineChars="200"/>
        <w:jc w:val="both"/>
        <w:textAlignment w:val="center"/>
        <w:rPr>
          <w:rFonts w:ascii="仿宋" w:hAnsi="仿宋" w:eastAsia="仿宋" w:cs="仿宋"/>
          <w:sz w:val="28"/>
          <w:szCs w:val="28"/>
        </w:rPr>
      </w:pPr>
      <w:r>
        <w:rPr>
          <w:rFonts w:hint="eastAsia" w:ascii="仿宋" w:hAnsi="仿宋" w:eastAsia="仿宋" w:cs="仿宋"/>
          <w:spacing w:val="-2"/>
          <w:sz w:val="28"/>
          <w:szCs w:val="28"/>
          <w:shd w:val="clear" w:color="auto" w:fill="FFFFFF"/>
        </w:rPr>
        <w:t>3、办案及装备费资金662.25万元，占项目支出的12.13%；</w:t>
      </w:r>
    </w:p>
    <w:p w14:paraId="14D9591C">
      <w:pPr>
        <w:pStyle w:val="6"/>
        <w:shd w:val="clear" w:color="auto" w:fill="FFFFFF"/>
        <w:spacing w:before="0" w:beforeAutospacing="0" w:after="0" w:afterAutospacing="0"/>
        <w:ind w:firstLine="552" w:firstLineChars="200"/>
        <w:jc w:val="both"/>
        <w:textAlignment w:val="center"/>
        <w:rPr>
          <w:rFonts w:ascii="仿宋" w:hAnsi="仿宋" w:eastAsia="仿宋" w:cs="仿宋"/>
          <w:sz w:val="28"/>
          <w:szCs w:val="28"/>
        </w:rPr>
      </w:pPr>
      <w:r>
        <w:rPr>
          <w:rFonts w:hint="eastAsia" w:ascii="仿宋" w:hAnsi="仿宋" w:eastAsia="仿宋" w:cs="仿宋"/>
          <w:spacing w:val="-2"/>
          <w:sz w:val="28"/>
          <w:szCs w:val="28"/>
          <w:shd w:val="clear" w:color="auto" w:fill="FFFFFF"/>
        </w:rPr>
        <w:t>4、综合项目3947.68万元，占项目支出的72.28%，主要用于行政运行、执法办案及其他公安支出以弥补项目支出经费的不足。</w:t>
      </w:r>
    </w:p>
    <w:p w14:paraId="3FC4BAB6">
      <w:pPr>
        <w:autoSpaceDE w:val="0"/>
        <w:autoSpaceDN w:val="0"/>
        <w:ind w:firstLine="562" w:firstLineChars="200"/>
        <w:rPr>
          <w:rFonts w:ascii="仿宋" w:hAnsi="仿宋" w:eastAsia="仿宋"/>
          <w:b/>
          <w:kern w:val="0"/>
          <w:sz w:val="28"/>
          <w:szCs w:val="28"/>
        </w:rPr>
      </w:pPr>
      <w:r>
        <w:rPr>
          <w:rFonts w:hint="eastAsia" w:ascii="仿宋" w:hAnsi="仿宋" w:eastAsia="仿宋"/>
          <w:b/>
          <w:kern w:val="0"/>
          <w:sz w:val="28"/>
          <w:szCs w:val="28"/>
        </w:rPr>
        <w:t>（五）项目资金使用及管理情况</w:t>
      </w:r>
    </w:p>
    <w:p w14:paraId="0B9DBF72">
      <w:pPr>
        <w:pStyle w:val="6"/>
        <w:shd w:val="clear" w:color="auto" w:fill="FFFFFF"/>
        <w:spacing w:before="0" w:beforeAutospacing="0" w:after="0" w:afterAutospacing="0"/>
        <w:ind w:firstLine="552" w:firstLineChars="200"/>
        <w:jc w:val="both"/>
        <w:rPr>
          <w:rFonts w:ascii="仿宋" w:hAnsi="仿宋" w:eastAsia="仿宋" w:cs="仿宋"/>
          <w:sz w:val="28"/>
          <w:szCs w:val="28"/>
        </w:rPr>
      </w:pPr>
      <w:r>
        <w:rPr>
          <w:rFonts w:hint="eastAsia" w:ascii="仿宋" w:hAnsi="仿宋" w:eastAsia="仿宋" w:cs="仿宋"/>
          <w:spacing w:val="-2"/>
          <w:sz w:val="28"/>
          <w:szCs w:val="28"/>
          <w:shd w:val="clear" w:color="auto" w:fill="FFFFFF"/>
        </w:rPr>
        <w:t>各项专项资金严格按照有关法律法规、财经纪律、财务规章制执行，同时根据单位自身情况制定了相关财务制度。</w:t>
      </w:r>
    </w:p>
    <w:p w14:paraId="7982FDC3">
      <w:pPr>
        <w:ind w:firstLine="560" w:firstLineChars="200"/>
        <w:rPr>
          <w:rFonts w:ascii="仿宋" w:hAnsi="仿宋" w:eastAsia="仿宋"/>
          <w:sz w:val="28"/>
          <w:szCs w:val="28"/>
        </w:rPr>
      </w:pPr>
      <w:r>
        <w:rPr>
          <w:rFonts w:hint="eastAsia" w:ascii="仿宋" w:hAnsi="仿宋" w:eastAsia="仿宋"/>
          <w:sz w:val="28"/>
          <w:szCs w:val="28"/>
          <w:lang w:val="zh-CN"/>
        </w:rPr>
        <w:t>交警支队</w:t>
      </w:r>
      <w:r>
        <w:rPr>
          <w:rFonts w:hint="eastAsia" w:ascii="仿宋" w:hAnsi="仿宋" w:eastAsia="仿宋"/>
          <w:sz w:val="28"/>
          <w:szCs w:val="28"/>
        </w:rPr>
        <w:t>在项目资金管理和实施过程中，资金拨付有完整的审批程序和手续，按照财经制度的有关要求，重视对项目支出的管理。确保专项资金专款专用，资金支付严格实行联审会签制度，保证了资金使用的合规性。从评价小组检查的情况来看：</w:t>
      </w:r>
    </w:p>
    <w:p w14:paraId="2D1AF4CD">
      <w:pPr>
        <w:ind w:firstLine="560" w:firstLineChars="200"/>
        <w:rPr>
          <w:rFonts w:ascii="仿宋" w:hAnsi="仿宋" w:eastAsia="仿宋"/>
          <w:sz w:val="28"/>
          <w:szCs w:val="28"/>
        </w:rPr>
      </w:pPr>
      <w:r>
        <w:rPr>
          <w:rFonts w:hint="eastAsia" w:ascii="仿宋" w:hAnsi="仿宋" w:eastAsia="仿宋"/>
          <w:sz w:val="28"/>
          <w:szCs w:val="28"/>
        </w:rPr>
        <w:t>在项目组织及程序上：</w:t>
      </w:r>
    </w:p>
    <w:p w14:paraId="0A5F9ACE">
      <w:pPr>
        <w:ind w:firstLine="560" w:firstLineChars="200"/>
        <w:rPr>
          <w:rFonts w:ascii="仿宋" w:hAnsi="仿宋" w:eastAsia="仿宋"/>
          <w:sz w:val="28"/>
          <w:szCs w:val="28"/>
        </w:rPr>
      </w:pPr>
      <w:r>
        <w:rPr>
          <w:rFonts w:hint="eastAsia" w:ascii="仿宋" w:hAnsi="仿宋" w:eastAsia="仿宋"/>
          <w:sz w:val="28"/>
          <w:szCs w:val="28"/>
        </w:rPr>
        <w:t>1、成立了项目管理领导小组，制定了《</w:t>
      </w:r>
      <w:r>
        <w:rPr>
          <w:rFonts w:hint="eastAsia" w:ascii="仿宋" w:hAnsi="仿宋" w:eastAsia="仿宋"/>
          <w:sz w:val="28"/>
          <w:szCs w:val="28"/>
          <w:lang w:val="zh-CN"/>
        </w:rPr>
        <w:t>项目建设专项资金管理规定</w:t>
      </w:r>
      <w:r>
        <w:rPr>
          <w:rFonts w:hint="eastAsia" w:ascii="仿宋" w:hAnsi="仿宋" w:eastAsia="仿宋"/>
          <w:sz w:val="28"/>
          <w:szCs w:val="28"/>
        </w:rPr>
        <w:t>》；</w:t>
      </w:r>
    </w:p>
    <w:p w14:paraId="22A3AA76">
      <w:pPr>
        <w:ind w:firstLine="560" w:firstLineChars="200"/>
        <w:rPr>
          <w:rFonts w:ascii="仿宋" w:hAnsi="仿宋" w:eastAsia="仿宋"/>
          <w:sz w:val="28"/>
          <w:szCs w:val="28"/>
        </w:rPr>
      </w:pPr>
      <w:r>
        <w:rPr>
          <w:rFonts w:hint="eastAsia" w:ascii="仿宋" w:hAnsi="仿宋" w:eastAsia="仿宋"/>
          <w:sz w:val="28"/>
          <w:szCs w:val="28"/>
        </w:rPr>
        <w:t>2、由专人负责组织实施，按照“统一领导、统一规划、统一建设、统一管理”的要求实施，从本地实际出发，有计划、分阶段地推进项目工作；</w:t>
      </w:r>
    </w:p>
    <w:p w14:paraId="37554D86">
      <w:pPr>
        <w:ind w:firstLine="560" w:firstLineChars="200"/>
        <w:rPr>
          <w:rFonts w:ascii="仿宋" w:hAnsi="仿宋" w:eastAsia="仿宋"/>
          <w:sz w:val="28"/>
          <w:szCs w:val="28"/>
        </w:rPr>
      </w:pPr>
      <w:r>
        <w:rPr>
          <w:rFonts w:hint="eastAsia" w:ascii="仿宋" w:hAnsi="仿宋" w:eastAsia="仿宋"/>
          <w:sz w:val="28"/>
          <w:szCs w:val="28"/>
        </w:rPr>
        <w:t>3、项目实施后适时组织人员对项目进行竣工验收，并委托中介机构进行项目结算审计和财务决算审计。</w:t>
      </w:r>
    </w:p>
    <w:p w14:paraId="3960F2EF">
      <w:pPr>
        <w:ind w:firstLine="560" w:firstLineChars="200"/>
        <w:rPr>
          <w:rFonts w:ascii="仿宋" w:hAnsi="仿宋" w:eastAsia="仿宋"/>
          <w:sz w:val="28"/>
          <w:szCs w:val="28"/>
        </w:rPr>
      </w:pPr>
      <w:r>
        <w:rPr>
          <w:rFonts w:hint="eastAsia" w:ascii="仿宋" w:hAnsi="仿宋" w:eastAsia="仿宋"/>
          <w:sz w:val="28"/>
          <w:szCs w:val="28"/>
        </w:rPr>
        <w:t>4、政府采购项目通过了政府采购办统一招标。</w:t>
      </w:r>
    </w:p>
    <w:p w14:paraId="6DBC1D44">
      <w:pPr>
        <w:autoSpaceDE w:val="0"/>
        <w:autoSpaceDN w:val="0"/>
        <w:ind w:firstLine="562" w:firstLineChars="200"/>
        <w:rPr>
          <w:rFonts w:ascii="仿宋" w:hAnsi="仿宋" w:eastAsia="仿宋" w:cstheme="minorEastAsia"/>
          <w:b/>
          <w:sz w:val="28"/>
          <w:szCs w:val="28"/>
          <w:lang w:val="zh-CN"/>
        </w:rPr>
      </w:pPr>
      <w:r>
        <w:rPr>
          <w:rFonts w:hint="eastAsia" w:ascii="仿宋" w:hAnsi="仿宋" w:eastAsia="仿宋" w:cstheme="minorEastAsia"/>
          <w:b/>
          <w:sz w:val="28"/>
          <w:szCs w:val="28"/>
          <w:lang w:val="zh-CN"/>
        </w:rPr>
        <w:t>三、绩效评价工作情况</w:t>
      </w:r>
    </w:p>
    <w:p w14:paraId="41096C01">
      <w:pPr>
        <w:pStyle w:val="9"/>
        <w:autoSpaceDE w:val="0"/>
        <w:spacing w:before="0" w:beforeAutospacing="0" w:after="0" w:afterAutospacing="0"/>
        <w:ind w:firstLine="480" w:firstLineChars="200"/>
        <w:rPr>
          <w:rFonts w:ascii="仿宋" w:hAnsi="仿宋" w:eastAsia="仿宋" w:cs="Times New Roman"/>
          <w:kern w:val="2"/>
          <w:sz w:val="28"/>
          <w:szCs w:val="28"/>
        </w:rPr>
      </w:pPr>
      <w:r>
        <w:rPr>
          <w:rFonts w:hint="eastAsia" w:ascii="仿宋" w:hAnsi="仿宋" w:eastAsia="仿宋"/>
          <w:kern w:val="2"/>
        </w:rPr>
        <w:t>（</w:t>
      </w:r>
      <w:r>
        <w:rPr>
          <w:rFonts w:hint="eastAsia" w:ascii="仿宋" w:hAnsi="仿宋" w:eastAsia="仿宋" w:cs="Times New Roman"/>
          <w:kern w:val="2"/>
          <w:sz w:val="28"/>
          <w:szCs w:val="28"/>
        </w:rPr>
        <w:t>一）绩效评价目的</w:t>
      </w:r>
    </w:p>
    <w:p w14:paraId="2C985C70">
      <w:pPr>
        <w:pStyle w:val="6"/>
        <w:spacing w:before="0" w:beforeAutospacing="0" w:after="0" w:afterAutospacing="0"/>
        <w:ind w:firstLine="560" w:firstLineChars="200"/>
        <w:jc w:val="both"/>
        <w:rPr>
          <w:rFonts w:ascii="仿宋" w:hAnsi="仿宋" w:eastAsia="仿宋" w:cs="Times New Roman"/>
          <w:kern w:val="2"/>
          <w:sz w:val="28"/>
          <w:szCs w:val="28"/>
        </w:rPr>
      </w:pPr>
      <w:r>
        <w:rPr>
          <w:rFonts w:hint="eastAsia" w:ascii="仿宋" w:hAnsi="仿宋" w:eastAsia="仿宋" w:cs="Times New Roman"/>
          <w:kern w:val="2"/>
          <w:sz w:val="28"/>
          <w:szCs w:val="28"/>
        </w:rPr>
        <w:t>本次绩效评价的目的是为了全面分析和综合评价我单位对财政预算资金的使用和管理情况，通过加强预算收支管理，不断建立健全内部管理制度，梳理内部管理流程，为切实提高财政资金使用效益，强化预算支出的责任和效率提供参考。</w:t>
      </w:r>
    </w:p>
    <w:p w14:paraId="09C2E34F">
      <w:pPr>
        <w:pStyle w:val="9"/>
        <w:autoSpaceDE w:val="0"/>
        <w:spacing w:before="0" w:beforeAutospacing="0" w:after="0" w:afterAutospacing="0"/>
        <w:ind w:firstLine="560" w:firstLineChars="200"/>
        <w:rPr>
          <w:rFonts w:ascii="仿宋" w:hAnsi="仿宋" w:eastAsia="仿宋" w:cs="Times New Roman"/>
          <w:kern w:val="2"/>
          <w:sz w:val="28"/>
          <w:szCs w:val="28"/>
        </w:rPr>
      </w:pPr>
      <w:r>
        <w:rPr>
          <w:rFonts w:hint="eastAsia" w:ascii="仿宋" w:hAnsi="仿宋" w:eastAsia="仿宋" w:cs="Times New Roman"/>
          <w:kern w:val="2"/>
          <w:sz w:val="28"/>
          <w:szCs w:val="28"/>
        </w:rPr>
        <w:t>（二）绩效评价工作过程</w:t>
      </w:r>
    </w:p>
    <w:p w14:paraId="37C6A640">
      <w:pPr>
        <w:ind w:firstLine="560" w:firstLineChars="200"/>
        <w:rPr>
          <w:rFonts w:ascii="仿宋" w:hAnsi="仿宋" w:eastAsia="仿宋"/>
          <w:sz w:val="28"/>
          <w:szCs w:val="28"/>
        </w:rPr>
      </w:pPr>
      <w:r>
        <w:rPr>
          <w:rFonts w:hint="eastAsia" w:ascii="仿宋" w:hAnsi="仿宋" w:eastAsia="仿宋"/>
          <w:sz w:val="28"/>
          <w:szCs w:val="28"/>
        </w:rPr>
        <w:t>1.成立评价小组。成立益阳市交警支队绩效评价工作小组，由支队长任组长，各科室、大队负责人为成员，明确工作职责和分工。评价小组负责本部门绩效自评工作的组织领导和具体实施。</w:t>
      </w:r>
    </w:p>
    <w:p w14:paraId="50546E7D">
      <w:pPr>
        <w:ind w:firstLine="560" w:firstLineChars="200"/>
        <w:rPr>
          <w:rFonts w:ascii="仿宋" w:hAnsi="仿宋" w:eastAsia="仿宋"/>
          <w:sz w:val="28"/>
          <w:szCs w:val="28"/>
        </w:rPr>
      </w:pPr>
      <w:r>
        <w:rPr>
          <w:rFonts w:hint="eastAsia" w:ascii="仿宋" w:hAnsi="仿宋" w:eastAsia="仿宋"/>
          <w:sz w:val="28"/>
          <w:szCs w:val="28"/>
        </w:rPr>
        <w:t>2.实施绩效评价。一是收集资料。根据评价对象、内容和要求收集相关法律法规规章、文件制度、部门职能职责、年度工作计划等各种资料；要求所属部门、单位填报相关数据，提供有关情况；评价人员采取到实地勘察、发放问卷调查、召开座谈会听取汇报等方式收集各种资料。二是审核资料。评价小组对收集到的各种资料进行审核，根据具体情况组织人员到现场进行勘察、询查和核实，确保资料真实可信、准确无误。三是形成评价结论。评价人员通过对资料进行分类、整理和分析，按照确定的评价方法、评价标准和评价指标进行打分，形成自评结论。</w:t>
      </w:r>
    </w:p>
    <w:p w14:paraId="1F2494A9">
      <w:pPr>
        <w:autoSpaceDE w:val="0"/>
        <w:autoSpaceDN w:val="0"/>
        <w:ind w:firstLine="562" w:firstLineChars="200"/>
        <w:rPr>
          <w:rFonts w:ascii="仿宋" w:hAnsi="仿宋" w:eastAsia="仿宋" w:cstheme="minorEastAsia"/>
          <w:b/>
          <w:sz w:val="28"/>
          <w:szCs w:val="28"/>
          <w:lang w:val="zh-CN"/>
        </w:rPr>
      </w:pPr>
      <w:r>
        <w:rPr>
          <w:rFonts w:hint="eastAsia" w:ascii="仿宋" w:hAnsi="仿宋" w:eastAsia="仿宋" w:cstheme="minorEastAsia"/>
          <w:b/>
          <w:sz w:val="28"/>
          <w:szCs w:val="28"/>
          <w:lang w:val="zh-CN"/>
        </w:rPr>
        <w:t>四、部门整体支出主要绩效</w:t>
      </w:r>
    </w:p>
    <w:p w14:paraId="165C6F21">
      <w:pPr>
        <w:ind w:firstLine="560" w:firstLineChars="200"/>
        <w:rPr>
          <w:rFonts w:ascii="仿宋" w:hAnsi="仿宋" w:eastAsia="仿宋"/>
          <w:sz w:val="28"/>
          <w:szCs w:val="28"/>
        </w:rPr>
      </w:pPr>
      <w:r>
        <w:rPr>
          <w:rFonts w:hint="eastAsia" w:ascii="仿宋" w:hAnsi="仿宋" w:eastAsia="仿宋"/>
          <w:sz w:val="28"/>
          <w:szCs w:val="28"/>
        </w:rPr>
        <w:t>根据部门整体支出绩效评价指标体系和绩效检查情况，我</w:t>
      </w:r>
      <w:r>
        <w:rPr>
          <w:rFonts w:hint="eastAsia" w:ascii="仿宋" w:hAnsi="仿宋" w:eastAsia="仿宋"/>
          <w:sz w:val="28"/>
          <w:szCs w:val="28"/>
          <w:lang w:val="zh-CN"/>
        </w:rPr>
        <w:t>支队</w:t>
      </w:r>
      <w:r>
        <w:rPr>
          <w:rFonts w:hint="eastAsia" w:ascii="仿宋" w:hAnsi="仿宋" w:eastAsia="仿宋"/>
          <w:sz w:val="28"/>
          <w:szCs w:val="28"/>
        </w:rPr>
        <w:t>主要绩效表现在如下几个方面：</w:t>
      </w:r>
    </w:p>
    <w:p w14:paraId="7CAB1568">
      <w:pPr>
        <w:ind w:firstLine="562" w:firstLineChars="200"/>
        <w:rPr>
          <w:rFonts w:ascii="仿宋" w:hAnsi="仿宋" w:eastAsia="仿宋"/>
          <w:sz w:val="28"/>
          <w:szCs w:val="28"/>
        </w:rPr>
      </w:pPr>
      <w:r>
        <w:rPr>
          <w:rFonts w:hint="eastAsia" w:ascii="楷体" w:hAnsi="楷体" w:eastAsia="楷体" w:cs="楷体"/>
          <w:b/>
          <w:bCs/>
          <w:sz w:val="28"/>
          <w:szCs w:val="28"/>
        </w:rPr>
        <w:t>（一）有效性评价情况</w:t>
      </w:r>
      <w:r>
        <w:rPr>
          <w:rFonts w:hint="eastAsia" w:ascii="仿宋" w:hAnsi="仿宋" w:eastAsia="仿宋"/>
          <w:sz w:val="28"/>
          <w:szCs w:val="28"/>
        </w:rPr>
        <w:t>：</w:t>
      </w:r>
    </w:p>
    <w:p w14:paraId="76A7549B">
      <w:pPr>
        <w:ind w:firstLine="560" w:firstLineChars="200"/>
        <w:rPr>
          <w:rFonts w:hint="eastAsia" w:ascii="仿宋" w:hAnsi="仿宋" w:eastAsia="仿宋"/>
          <w:sz w:val="28"/>
          <w:szCs w:val="28"/>
        </w:rPr>
      </w:pPr>
      <w:r>
        <w:rPr>
          <w:rFonts w:hint="eastAsia" w:ascii="仿宋" w:hAnsi="仿宋" w:eastAsia="仿宋"/>
          <w:sz w:val="28"/>
          <w:szCs w:val="28"/>
        </w:rPr>
        <w:t>2023年，交警支队在市委、市政府和省交警总队、市公安局的坚强领导下，始终坚持“以人民为中心”的理念，紧紧围绕防疫情、降事故、保畅通、优服务的目标，全力保障道路交通有序、安全、畅通。2023年全市</w:t>
      </w:r>
      <w:r>
        <w:rPr>
          <w:rFonts w:hint="eastAsia" w:ascii="仿宋" w:hAnsi="仿宋" w:eastAsia="仿宋"/>
          <w:sz w:val="28"/>
          <w:szCs w:val="28"/>
          <w:lang w:eastAsia="zh-CN"/>
        </w:rPr>
        <w:t>共发生</w:t>
      </w:r>
      <w:r>
        <w:rPr>
          <w:rFonts w:hint="eastAsia" w:ascii="仿宋" w:hAnsi="仿宋" w:eastAsia="仿宋"/>
          <w:sz w:val="28"/>
          <w:szCs w:val="28"/>
        </w:rPr>
        <w:t>亡</w:t>
      </w:r>
      <w:r>
        <w:rPr>
          <w:rFonts w:hint="eastAsia" w:ascii="仿宋" w:hAnsi="仿宋" w:eastAsia="仿宋"/>
          <w:sz w:val="28"/>
          <w:szCs w:val="28"/>
          <w:lang w:eastAsia="zh-CN"/>
        </w:rPr>
        <w:t>人交通事故</w:t>
      </w:r>
      <w:r>
        <w:rPr>
          <w:rFonts w:hint="eastAsia" w:ascii="仿宋" w:hAnsi="仿宋" w:eastAsia="仿宋"/>
          <w:sz w:val="28"/>
          <w:szCs w:val="28"/>
          <w:lang w:val="en-US" w:eastAsia="zh-CN"/>
        </w:rPr>
        <w:t>273起</w:t>
      </w:r>
      <w:r>
        <w:rPr>
          <w:rFonts w:hint="eastAsia" w:ascii="仿宋" w:hAnsi="仿宋" w:eastAsia="仿宋"/>
          <w:sz w:val="28"/>
          <w:szCs w:val="28"/>
        </w:rPr>
        <w:t>，</w:t>
      </w:r>
      <w:r>
        <w:rPr>
          <w:rFonts w:hint="eastAsia" w:ascii="仿宋" w:hAnsi="仿宋" w:eastAsia="仿宋"/>
          <w:sz w:val="28"/>
          <w:szCs w:val="28"/>
          <w:lang w:eastAsia="zh-CN"/>
        </w:rPr>
        <w:t>死亡</w:t>
      </w:r>
      <w:r>
        <w:rPr>
          <w:rFonts w:hint="eastAsia" w:ascii="仿宋" w:hAnsi="仿宋" w:eastAsia="仿宋"/>
          <w:sz w:val="28"/>
          <w:szCs w:val="28"/>
          <w:lang w:val="en-US" w:eastAsia="zh-CN"/>
        </w:rPr>
        <w:t>280人</w:t>
      </w:r>
      <w:r>
        <w:rPr>
          <w:rFonts w:hint="eastAsia" w:ascii="仿宋" w:hAnsi="仿宋" w:eastAsia="仿宋"/>
          <w:sz w:val="28"/>
          <w:szCs w:val="28"/>
        </w:rPr>
        <w:t>，相较于2022年分别下降了</w:t>
      </w:r>
      <w:r>
        <w:rPr>
          <w:rFonts w:hint="eastAsia" w:ascii="仿宋" w:hAnsi="仿宋" w:eastAsia="仿宋"/>
          <w:sz w:val="28"/>
          <w:szCs w:val="28"/>
          <w:lang w:val="en-US" w:eastAsia="zh-CN"/>
        </w:rPr>
        <w:t>11.65</w:t>
      </w:r>
      <w:r>
        <w:rPr>
          <w:rFonts w:hint="eastAsia" w:ascii="仿宋" w:hAnsi="仿宋" w:eastAsia="仿宋"/>
          <w:sz w:val="28"/>
          <w:szCs w:val="28"/>
        </w:rPr>
        <w:t>%、</w:t>
      </w:r>
      <w:r>
        <w:rPr>
          <w:rFonts w:hint="eastAsia" w:ascii="仿宋" w:hAnsi="仿宋" w:eastAsia="仿宋"/>
          <w:sz w:val="28"/>
          <w:szCs w:val="28"/>
          <w:lang w:val="en-US" w:eastAsia="zh-CN"/>
        </w:rPr>
        <w:t>11.39</w:t>
      </w:r>
      <w:r>
        <w:rPr>
          <w:rFonts w:hint="eastAsia" w:ascii="仿宋" w:hAnsi="仿宋" w:eastAsia="仿宋"/>
          <w:sz w:val="28"/>
          <w:szCs w:val="28"/>
        </w:rPr>
        <w:t>%。支队在全省公安交警系统“夏季行动”中获评先进单位(全省第三)，当前正在开展的“冬季攻势”情况良好，主要数据全省排名靠前。尤其是制定《全面提升头盔佩戴率的十项措施》，对无证驾驶且不戴头盔的一律行政拘留，全市头盔佩戴率达到92%，排名全省第三。</w:t>
      </w:r>
    </w:p>
    <w:p w14:paraId="6472068C">
      <w:pPr>
        <w:ind w:firstLine="560" w:firstLineChars="200"/>
        <w:rPr>
          <w:rFonts w:ascii="仿宋" w:hAnsi="仿宋" w:eastAsia="仿宋"/>
          <w:sz w:val="28"/>
          <w:szCs w:val="28"/>
        </w:rPr>
      </w:pPr>
      <w:r>
        <w:rPr>
          <w:rFonts w:hint="eastAsia" w:ascii="仿宋" w:hAnsi="仿宋" w:eastAsia="仿宋"/>
          <w:sz w:val="28"/>
          <w:szCs w:val="28"/>
        </w:rPr>
        <w:t>2023年成绩具体有以下几项：</w:t>
      </w:r>
    </w:p>
    <w:p w14:paraId="4832D6F8">
      <w:pPr>
        <w:pStyle w:val="11"/>
        <w:numPr>
          <w:ilvl w:val="0"/>
          <w:numId w:val="2"/>
        </w:numPr>
        <w:ind w:firstLineChars="0"/>
        <w:rPr>
          <w:sz w:val="28"/>
        </w:rPr>
      </w:pPr>
      <w:r>
        <w:rPr>
          <w:rFonts w:hint="eastAsia"/>
          <w:sz w:val="28"/>
        </w:rPr>
        <w:t>重拳整治交通违法。</w:t>
      </w:r>
    </w:p>
    <w:p w14:paraId="28A7EE31">
      <w:pPr>
        <w:ind w:firstLine="560" w:firstLineChars="200"/>
        <w:rPr>
          <w:sz w:val="28"/>
        </w:rPr>
      </w:pPr>
      <w:r>
        <w:rPr>
          <w:rFonts w:hint="eastAsia" w:ascii="仿宋" w:hAnsi="仿宋" w:eastAsia="仿宋"/>
          <w:sz w:val="28"/>
          <w:szCs w:val="28"/>
        </w:rPr>
        <w:t>协同全市85个农村派出所，部署开展重点违法打击、集中</w:t>
      </w:r>
      <w:r>
        <w:rPr>
          <w:rFonts w:hint="eastAsia"/>
          <w:sz w:val="28"/>
        </w:rPr>
        <w:t>整治攻坚、县市交叉执法，不断提升整治频次和执法力度。全市查处道路交通违法202.88万起，现场查处75.08 万起，其中酒驾醉驾9045 起，不戴头盔 37.9 万起，不系安全带27.2万起，行政拘留857人。支队在全省公安交警系统“夏季行动”中获评先进单位(全省第三)，当前正在开展的“冬季攻势”情况良好，主要数据全省排名靠前。尤其是制定《全面提升头盔佩戴率的十项措施》，对无证驾驶且不戴头盔的一律行政拘留，全市头盔佩戴率达到92%，排名全省第三。</w:t>
      </w:r>
    </w:p>
    <w:p w14:paraId="7D0D4041">
      <w:pPr>
        <w:ind w:firstLine="560" w:firstLineChars="200"/>
        <w:rPr>
          <w:sz w:val="28"/>
        </w:rPr>
      </w:pPr>
      <w:r>
        <w:rPr>
          <w:rFonts w:hint="eastAsia" w:ascii="仿宋" w:hAnsi="仿宋" w:eastAsia="仿宋"/>
          <w:sz w:val="28"/>
          <w:szCs w:val="28"/>
        </w:rPr>
        <w:t>2、</w:t>
      </w:r>
      <w:r>
        <w:rPr>
          <w:rFonts w:hint="eastAsia"/>
          <w:sz w:val="28"/>
        </w:rPr>
        <w:t>全面治理安全隐患。</w:t>
      </w:r>
    </w:p>
    <w:p w14:paraId="4BD083F9">
      <w:pPr>
        <w:ind w:firstLine="560" w:firstLineChars="200"/>
        <w:rPr>
          <w:sz w:val="28"/>
        </w:rPr>
      </w:pPr>
      <w:r>
        <w:rPr>
          <w:rFonts w:hint="eastAsia"/>
          <w:sz w:val="28"/>
        </w:rPr>
        <w:t>全力推动道路安全隐患治理，除部、省两级交办的61处隐患点段之外，聘请中南大学专业团队自主排查国省道安全隐患329处，由市领导亲自部署，向县市区下达隐患治理通知单。截至9月底，部、省交办隐患和自主排查的国省道隐患全部治理完成。随即启动2200余公里县乡道的安全隐患排查，共排查隐患8515处，截至12月31日，已完成整治 4189 处。先后出台重点车辆及重点驾驶人源头隐患清零“七项措施”“八条措施”</w:t>
      </w:r>
      <w:r>
        <w:rPr>
          <w:rFonts w:hint="eastAsia"/>
          <w:sz w:val="28"/>
          <w:lang w:eastAsia="zh-CN"/>
        </w:rPr>
        <w:t>，</w:t>
      </w:r>
      <w:r>
        <w:rPr>
          <w:rFonts w:hint="eastAsia"/>
          <w:sz w:val="28"/>
        </w:rPr>
        <w:t>将隐患治理任务层层分解到中队、到民警，发动一切资源、穷尽一切手段，逐车逐人进行排查、联系、督办，重点车辆检验率、报废率、违法处理率全部达到100%，重点驾驶人审验率、换证率分别达到97.58%、99.53%。</w:t>
      </w:r>
    </w:p>
    <w:p w14:paraId="05586FD6">
      <w:pPr>
        <w:ind w:firstLine="560" w:firstLineChars="200"/>
        <w:rPr>
          <w:rFonts w:ascii="仿宋" w:hAnsi="仿宋" w:eastAsia="仿宋"/>
          <w:sz w:val="28"/>
          <w:szCs w:val="28"/>
        </w:rPr>
      </w:pPr>
      <w:r>
        <w:rPr>
          <w:rFonts w:hint="eastAsia" w:ascii="仿宋" w:hAnsi="仿宋" w:eastAsia="仿宋"/>
          <w:sz w:val="28"/>
          <w:szCs w:val="28"/>
        </w:rPr>
        <w:t>3、高位推动协同共治。</w:t>
      </w:r>
    </w:p>
    <w:p w14:paraId="723BFC7E">
      <w:pPr>
        <w:ind w:firstLine="560" w:firstLineChars="200"/>
        <w:rPr>
          <w:sz w:val="28"/>
        </w:rPr>
      </w:pPr>
      <w:r>
        <w:rPr>
          <w:rFonts w:hint="eastAsia" w:ascii="仿宋" w:hAnsi="仿宋" w:eastAsia="仿宋"/>
          <w:sz w:val="28"/>
          <w:szCs w:val="28"/>
        </w:rPr>
        <w:t>一方面加强外部联动。市政府常务会议专题听取道路交通安</w:t>
      </w:r>
      <w:r>
        <w:rPr>
          <w:rFonts w:hint="eastAsia"/>
          <w:sz w:val="28"/>
        </w:rPr>
        <w:t>全工作汇报，市安委会、市交通问题顽瘴痼疾整治领导小组相继出台《益阳市安全生产挂牌督办实施办法》、《交通问题顽瘴痼疾整治工作通报提醒、警示约谈、挂牌督办制度》，对县市区和乡镇(街道、园区)的头盔佩戴率和亡人事故情况每月通报，对头盔佩戴率排名靠后的10个乡镇进行警示约谈，对发生较大事故的2个县市区和亡人事故发案数较多的3个乡镇(街道、园区)进行挂牌督办，同时还有7个乡镇(街道)被挂牌后未销号，逐步形成了区域统筹、条块协同、上下联动的工作格局。另一方面整合内部力量。市局党委专题研究农村派出所管交通工作，制定实施方案和考核办法，对全市农村派出所核编制、授权限、定职责、下任务，组织开展集中培训和上门指导，有力弥补了农村地区交警警力不足。</w:t>
      </w:r>
    </w:p>
    <w:p w14:paraId="5B8E4A8D">
      <w:pPr>
        <w:ind w:firstLine="640" w:firstLineChars="200"/>
        <w:rPr>
          <w:sz w:val="28"/>
        </w:rPr>
      </w:pPr>
      <w:r>
        <w:rPr>
          <w:rFonts w:hint="eastAsia"/>
        </w:rPr>
        <w:t>4、</w:t>
      </w:r>
      <w:r>
        <w:rPr>
          <w:rFonts w:hint="eastAsia"/>
          <w:sz w:val="28"/>
        </w:rPr>
        <w:t>着力夯实基层基础，不断深化队伍建设。</w:t>
      </w:r>
    </w:p>
    <w:p w14:paraId="079DAE5D">
      <w:pPr>
        <w:ind w:firstLine="560" w:firstLineChars="200"/>
        <w:rPr>
          <w:sz w:val="28"/>
        </w:rPr>
      </w:pPr>
      <w:r>
        <w:rPr>
          <w:rFonts w:hint="eastAsia"/>
          <w:sz w:val="28"/>
        </w:rPr>
        <w:t>完成2个城区大队交通指挥分控中心和2个勤务岗亭建设(修缮)</w:t>
      </w:r>
      <w:r>
        <w:rPr>
          <w:rFonts w:hint="eastAsia"/>
          <w:sz w:val="28"/>
          <w:lang w:eastAsia="zh-CN"/>
        </w:rPr>
        <w:t>，</w:t>
      </w:r>
      <w:r>
        <w:rPr>
          <w:rFonts w:hint="eastAsia"/>
          <w:sz w:val="28"/>
        </w:rPr>
        <w:t>新增</w:t>
      </w:r>
      <w:r>
        <w:rPr>
          <w:rFonts w:hint="eastAsia"/>
          <w:sz w:val="28"/>
          <w:lang w:eastAsia="zh-CN"/>
        </w:rPr>
        <w:t>配套</w:t>
      </w:r>
      <w:r>
        <w:rPr>
          <w:rFonts w:hint="eastAsia"/>
          <w:sz w:val="28"/>
        </w:rPr>
        <w:t>执法装备。按中队单建、队所共建两种模式，建成基层数字化中队5个</w:t>
      </w:r>
      <w:r>
        <w:rPr>
          <w:rFonts w:hint="eastAsia"/>
          <w:sz w:val="28"/>
          <w:lang w:eastAsia="zh-CN"/>
        </w:rPr>
        <w:t>。</w:t>
      </w:r>
      <w:bookmarkStart w:id="0" w:name="_GoBack"/>
      <w:bookmarkEnd w:id="0"/>
      <w:r>
        <w:rPr>
          <w:rFonts w:hint="eastAsia"/>
          <w:sz w:val="28"/>
        </w:rPr>
        <w:t>成立大监督管理中心，构建纪监牵头、部门参与、常态协作的工作格局和实时监督、通报整改、从严执纪的工作机制。对122接处警、酒驾查处、机动车查验、驾驶人考试、涉案车辆管理和农村派出所交管执法等存在的突出问题进行重点排查、专项整治，共开展专项督查、检查40次，查处违规违纪行为189起。</w:t>
      </w:r>
    </w:p>
    <w:p w14:paraId="79970CFF">
      <w:pPr>
        <w:ind w:firstLine="562" w:firstLineChars="200"/>
        <w:rPr>
          <w:rFonts w:ascii="仿宋" w:hAnsi="仿宋" w:eastAsia="仿宋"/>
          <w:sz w:val="28"/>
          <w:szCs w:val="28"/>
        </w:rPr>
      </w:pPr>
      <w:r>
        <w:rPr>
          <w:rFonts w:hint="eastAsia" w:ascii="楷体" w:hAnsi="楷体" w:eastAsia="楷体" w:cs="楷体"/>
          <w:b/>
          <w:bCs/>
          <w:sz w:val="28"/>
          <w:szCs w:val="28"/>
        </w:rPr>
        <w:t>（二）效率性评价</w:t>
      </w:r>
      <w:r>
        <w:rPr>
          <w:rFonts w:hint="eastAsia" w:ascii="仿宋" w:hAnsi="仿宋" w:eastAsia="仿宋"/>
          <w:b/>
          <w:bCs/>
          <w:sz w:val="28"/>
          <w:szCs w:val="28"/>
        </w:rPr>
        <w:t>:</w:t>
      </w:r>
      <w:r>
        <w:rPr>
          <w:rFonts w:hint="eastAsia" w:ascii="仿宋" w:hAnsi="仿宋" w:eastAsia="仿宋"/>
          <w:sz w:val="28"/>
          <w:szCs w:val="28"/>
        </w:rPr>
        <w:t xml:space="preserve"> </w:t>
      </w:r>
    </w:p>
    <w:p w14:paraId="35FAB341">
      <w:pPr>
        <w:ind w:firstLine="560" w:firstLineChars="200"/>
        <w:rPr>
          <w:rFonts w:ascii="仿宋" w:hAnsi="仿宋" w:eastAsia="仿宋"/>
          <w:sz w:val="28"/>
          <w:szCs w:val="28"/>
        </w:rPr>
      </w:pPr>
      <w:r>
        <w:rPr>
          <w:rFonts w:hint="eastAsia" w:ascii="仿宋" w:hAnsi="仿宋" w:eastAsia="仿宋"/>
          <w:sz w:val="28"/>
          <w:szCs w:val="28"/>
        </w:rPr>
        <w:t>1、在职人员控制率：财政供养人员编制3</w:t>
      </w:r>
      <w:r>
        <w:rPr>
          <w:rFonts w:hint="eastAsia" w:ascii="仿宋" w:hAnsi="仿宋" w:eastAsia="仿宋"/>
          <w:sz w:val="28"/>
          <w:szCs w:val="28"/>
          <w:lang w:val="en-US" w:eastAsia="zh-CN"/>
        </w:rPr>
        <w:t>2</w:t>
      </w:r>
      <w:r>
        <w:rPr>
          <w:rFonts w:hint="eastAsia" w:ascii="仿宋" w:hAnsi="仿宋" w:eastAsia="仿宋"/>
          <w:sz w:val="28"/>
          <w:szCs w:val="28"/>
        </w:rPr>
        <w:t>7名，截止2023年末实有在职在编人员277名，控制率为82.2%。</w:t>
      </w:r>
    </w:p>
    <w:p w14:paraId="60F046A6">
      <w:pPr>
        <w:ind w:firstLine="560" w:firstLineChars="200"/>
        <w:rPr>
          <w:rFonts w:ascii="仿宋" w:hAnsi="仿宋" w:eastAsia="仿宋"/>
          <w:sz w:val="28"/>
          <w:szCs w:val="28"/>
        </w:rPr>
      </w:pPr>
      <w:r>
        <w:rPr>
          <w:rFonts w:hint="eastAsia" w:ascii="仿宋" w:hAnsi="仿宋" w:eastAsia="仿宋"/>
          <w:sz w:val="28"/>
          <w:szCs w:val="28"/>
        </w:rPr>
        <w:t>2、预算完成率：年预算金额（含调整数）16463.95万元</w:t>
      </w:r>
      <w:r>
        <w:rPr>
          <w:rFonts w:hint="eastAsia" w:ascii="仿宋" w:hAnsi="仿宋" w:eastAsia="仿宋"/>
          <w:sz w:val="28"/>
          <w:szCs w:val="28"/>
          <w:lang w:eastAsia="zh-CN"/>
        </w:rPr>
        <w:t>，</w:t>
      </w:r>
      <w:r>
        <w:rPr>
          <w:rFonts w:hint="eastAsia" w:ascii="仿宋" w:hAnsi="仿宋" w:eastAsia="仿宋"/>
          <w:sz w:val="28"/>
          <w:szCs w:val="28"/>
        </w:rPr>
        <w:t>实际支出金额为16463.95万元</w:t>
      </w:r>
      <w:r>
        <w:rPr>
          <w:rFonts w:hint="eastAsia" w:ascii="仿宋" w:hAnsi="仿宋" w:eastAsia="仿宋"/>
          <w:sz w:val="28"/>
          <w:szCs w:val="28"/>
          <w:lang w:eastAsia="zh-CN"/>
        </w:rPr>
        <w:t>，</w:t>
      </w:r>
      <w:r>
        <w:rPr>
          <w:rFonts w:hint="eastAsia" w:ascii="仿宋" w:hAnsi="仿宋" w:eastAsia="仿宋"/>
          <w:sz w:val="28"/>
          <w:szCs w:val="28"/>
        </w:rPr>
        <w:t>完成率为100%。</w:t>
      </w:r>
    </w:p>
    <w:p w14:paraId="1559262A">
      <w:pPr>
        <w:ind w:firstLine="560" w:firstLineChars="200"/>
        <w:rPr>
          <w:rFonts w:ascii="仿宋" w:hAnsi="仿宋" w:eastAsia="仿宋"/>
          <w:sz w:val="28"/>
          <w:szCs w:val="28"/>
        </w:rPr>
      </w:pPr>
      <w:r>
        <w:rPr>
          <w:rFonts w:hint="eastAsia" w:ascii="仿宋" w:hAnsi="仿宋" w:eastAsia="仿宋"/>
          <w:sz w:val="28"/>
          <w:szCs w:val="28"/>
        </w:rPr>
        <w:t>3、“三公经费”控制率：“三公经费”实际支出数</w:t>
      </w:r>
      <w:r>
        <w:rPr>
          <w:rFonts w:hint="eastAsia" w:ascii="仿宋" w:hAnsi="仿宋" w:eastAsia="仿宋"/>
          <w:bCs/>
          <w:sz w:val="28"/>
          <w:szCs w:val="28"/>
        </w:rPr>
        <w:t>371.86万</w:t>
      </w:r>
      <w:r>
        <w:rPr>
          <w:rFonts w:hint="eastAsia" w:ascii="仿宋" w:hAnsi="仿宋" w:eastAsia="仿宋"/>
          <w:sz w:val="28"/>
          <w:szCs w:val="28"/>
        </w:rPr>
        <w:t>元，“三公经费”年初预算安排数为336万元，控制率为</w:t>
      </w:r>
      <w:r>
        <w:rPr>
          <w:rFonts w:hint="eastAsia" w:ascii="仿宋" w:hAnsi="仿宋" w:eastAsia="仿宋"/>
          <w:bCs/>
          <w:sz w:val="28"/>
          <w:szCs w:val="28"/>
        </w:rPr>
        <w:t>110.67</w:t>
      </w:r>
      <w:r>
        <w:rPr>
          <w:rFonts w:hint="eastAsia" w:ascii="仿宋" w:hAnsi="仿宋" w:eastAsia="仿宋"/>
          <w:sz w:val="28"/>
          <w:szCs w:val="28"/>
        </w:rPr>
        <w:t>%。</w:t>
      </w:r>
    </w:p>
    <w:p w14:paraId="69CED173">
      <w:pPr>
        <w:ind w:firstLine="562" w:firstLineChars="200"/>
        <w:rPr>
          <w:rFonts w:ascii="楷体" w:hAnsi="楷体" w:eastAsia="楷体" w:cs="楷体"/>
          <w:b/>
          <w:bCs/>
          <w:sz w:val="28"/>
          <w:szCs w:val="28"/>
        </w:rPr>
      </w:pPr>
      <w:r>
        <w:rPr>
          <w:rFonts w:hint="eastAsia" w:ascii="楷体" w:hAnsi="楷体" w:eastAsia="楷体" w:cs="楷体"/>
          <w:b/>
          <w:bCs/>
          <w:sz w:val="28"/>
          <w:szCs w:val="28"/>
        </w:rPr>
        <w:t>（三）可持续性评价</w:t>
      </w:r>
    </w:p>
    <w:p w14:paraId="400B76E8">
      <w:pPr>
        <w:ind w:firstLine="560" w:firstLineChars="200"/>
        <w:rPr>
          <w:rFonts w:ascii="仿宋" w:hAnsi="仿宋" w:eastAsia="仿宋"/>
          <w:sz w:val="28"/>
          <w:szCs w:val="28"/>
        </w:rPr>
      </w:pPr>
      <w:r>
        <w:rPr>
          <w:rFonts w:hint="eastAsia" w:ascii="仿宋" w:hAnsi="仿宋" w:eastAsia="仿宋"/>
          <w:sz w:val="28"/>
          <w:szCs w:val="28"/>
        </w:rPr>
        <w:t>为了提升部门整体支出及管理水平，我支队在管理制度上，根据《益阳市财政局关于开展2023年度部门绩效自评工作的通知》文件专门成立了预算绩效管理工作领导小组，建立健全了公务接待、财务管理、工程项目审计管理等制度；在资金使用合规性上要求按照国家财经法规和财务管理制度规定以及有关专项资金管理办法的规定收支，资金拨付要有完整的审批程序和手续，保证资金使用的合规性。坚持预决算在门户网上公开。通过以上措施的建立，为部门整体支出管理水平的持续提升提供了制度保障。</w:t>
      </w:r>
    </w:p>
    <w:p w14:paraId="109319C2">
      <w:pPr>
        <w:numPr>
          <w:ilvl w:val="0"/>
          <w:numId w:val="3"/>
        </w:numPr>
        <w:ind w:firstLine="562" w:firstLineChars="200"/>
        <w:rPr>
          <w:rFonts w:ascii="仿宋" w:hAnsi="仿宋" w:eastAsia="仿宋"/>
          <w:b/>
          <w:bCs/>
          <w:sz w:val="28"/>
          <w:szCs w:val="28"/>
        </w:rPr>
      </w:pPr>
      <w:r>
        <w:rPr>
          <w:rFonts w:hint="eastAsia" w:ascii="仿宋" w:hAnsi="仿宋" w:eastAsia="仿宋"/>
          <w:b/>
          <w:bCs/>
          <w:sz w:val="28"/>
          <w:szCs w:val="28"/>
        </w:rPr>
        <w:t>经济性评价</w:t>
      </w:r>
    </w:p>
    <w:p w14:paraId="39C3D556">
      <w:pPr>
        <w:ind w:firstLine="560" w:firstLineChars="200"/>
        <w:rPr>
          <w:rFonts w:ascii="仿宋" w:hAnsi="仿宋" w:eastAsia="仿宋"/>
          <w:sz w:val="28"/>
          <w:szCs w:val="28"/>
        </w:rPr>
      </w:pPr>
      <w:r>
        <w:rPr>
          <w:rFonts w:hint="eastAsia" w:ascii="仿宋" w:hAnsi="仿宋" w:eastAsia="仿宋"/>
          <w:sz w:val="28"/>
          <w:szCs w:val="28"/>
        </w:rPr>
        <w:t>2023年我交警支队其他收入109.23万元，其中：</w:t>
      </w:r>
      <w:r>
        <w:rPr>
          <w:rFonts w:hint="eastAsia" w:ascii="仿宋" w:hAnsi="仿宋" w:eastAsia="仿宋" w:cs="仿宋"/>
          <w:sz w:val="28"/>
          <w:szCs w:val="28"/>
        </w:rPr>
        <w:t>行政运行109.23万元，占其他收入总额的100%</w:t>
      </w:r>
      <w:r>
        <w:rPr>
          <w:rFonts w:hint="eastAsia" w:ascii="仿宋" w:hAnsi="仿宋" w:eastAsia="仿宋"/>
          <w:sz w:val="28"/>
          <w:szCs w:val="28"/>
        </w:rPr>
        <w:t>。</w:t>
      </w:r>
    </w:p>
    <w:p w14:paraId="73178912">
      <w:pPr>
        <w:ind w:firstLine="562" w:firstLineChars="200"/>
        <w:rPr>
          <w:rFonts w:ascii="仿宋" w:hAnsi="仿宋" w:eastAsia="仿宋"/>
          <w:b/>
          <w:bCs/>
          <w:sz w:val="28"/>
          <w:szCs w:val="28"/>
        </w:rPr>
      </w:pPr>
      <w:r>
        <w:rPr>
          <w:rFonts w:hint="eastAsia" w:ascii="楷体" w:hAnsi="楷体" w:eastAsia="楷体" w:cs="楷体"/>
          <w:b/>
          <w:bCs/>
          <w:sz w:val="28"/>
          <w:szCs w:val="28"/>
        </w:rPr>
        <w:t>(五)服务对象满意度方面</w:t>
      </w:r>
      <w:r>
        <w:rPr>
          <w:rFonts w:hint="eastAsia" w:ascii="仿宋" w:hAnsi="仿宋" w:eastAsia="仿宋"/>
          <w:b/>
          <w:bCs/>
          <w:sz w:val="28"/>
          <w:szCs w:val="28"/>
        </w:rPr>
        <w:t>：</w:t>
      </w:r>
    </w:p>
    <w:p w14:paraId="6F77EC94">
      <w:pPr>
        <w:ind w:firstLine="560" w:firstLineChars="200"/>
        <w:rPr>
          <w:sz w:val="28"/>
        </w:rPr>
      </w:pPr>
      <w:r>
        <w:rPr>
          <w:rFonts w:hint="eastAsia" w:ascii="仿宋" w:hAnsi="仿宋" w:eastAsia="仿宋"/>
          <w:sz w:val="28"/>
          <w:szCs w:val="28"/>
        </w:rPr>
        <w:t>我支队在市委、市政府和省交警总队、市公安局的坚强领导下，始终坚持“以人民为中心”的理念，紧紧围绕降事故、保畅通、优服务的目标，全力保障道路交通有序、安全、畅通。</w:t>
      </w:r>
      <w:r>
        <w:rPr>
          <w:rFonts w:hint="eastAsia"/>
          <w:sz w:val="28"/>
        </w:rPr>
        <w:t>支队在全省公安交警系统“夏季行动”中获评先进单位(全省第三)，当前正在开展的“冬季攻势”情况良好，主要数据全省排名靠前。尤其是制定《全面提升头盔佩戴率的十项措施》，对无证驾驶且不戴头盔的一律行政拘留，全市头盔佩戴率达到92%，排名全省第三。</w:t>
      </w:r>
      <w:r>
        <w:rPr>
          <w:rFonts w:hint="eastAsia" w:ascii="仿宋" w:hAnsi="仿宋" w:eastAsia="仿宋"/>
          <w:sz w:val="28"/>
          <w:szCs w:val="28"/>
        </w:rPr>
        <w:t>赢得了人民群众的广泛好评。组织的调查问卷中满意度调查结果在95%以上。</w:t>
      </w:r>
    </w:p>
    <w:p w14:paraId="59F9BC39">
      <w:pPr>
        <w:autoSpaceDE w:val="0"/>
        <w:autoSpaceDN w:val="0"/>
        <w:ind w:firstLine="562" w:firstLineChars="200"/>
        <w:rPr>
          <w:rFonts w:ascii="仿宋" w:hAnsi="仿宋" w:eastAsia="仿宋" w:cstheme="minorEastAsia"/>
          <w:b/>
          <w:sz w:val="24"/>
          <w:szCs w:val="24"/>
        </w:rPr>
      </w:pPr>
      <w:r>
        <w:rPr>
          <w:rFonts w:hint="eastAsia" w:ascii="仿宋" w:hAnsi="仿宋" w:eastAsia="仿宋" w:cstheme="minorEastAsia"/>
          <w:b/>
          <w:sz w:val="28"/>
          <w:szCs w:val="28"/>
        </w:rPr>
        <w:t>五、存在的主要问题</w:t>
      </w:r>
    </w:p>
    <w:p w14:paraId="3D406BFA">
      <w:pPr>
        <w:ind w:firstLine="560" w:firstLineChars="200"/>
        <w:rPr>
          <w:rFonts w:ascii="仿宋" w:hAnsi="仿宋" w:eastAsia="仿宋"/>
          <w:sz w:val="28"/>
          <w:szCs w:val="28"/>
        </w:rPr>
      </w:pPr>
      <w:r>
        <w:rPr>
          <w:rFonts w:hint="eastAsia" w:ascii="仿宋" w:hAnsi="仿宋" w:eastAsia="仿宋"/>
          <w:sz w:val="28"/>
          <w:szCs w:val="28"/>
        </w:rPr>
        <w:t>由于部分财政预算指标逐年减少，造成资金紧张，有部分项目资金未能支付到位。</w:t>
      </w:r>
    </w:p>
    <w:p w14:paraId="0645D18D">
      <w:pPr>
        <w:ind w:firstLine="562" w:firstLineChars="200"/>
        <w:rPr>
          <w:rFonts w:ascii="仿宋" w:hAnsi="仿宋" w:eastAsia="仿宋" w:cstheme="minorEastAsia"/>
          <w:b/>
          <w:sz w:val="28"/>
          <w:szCs w:val="28"/>
        </w:rPr>
      </w:pPr>
      <w:r>
        <w:rPr>
          <w:rFonts w:hint="eastAsia" w:ascii="仿宋" w:hAnsi="仿宋" w:eastAsia="仿宋" w:cstheme="minorEastAsia"/>
          <w:b/>
          <w:sz w:val="28"/>
          <w:szCs w:val="28"/>
        </w:rPr>
        <w:t>六、建议</w:t>
      </w:r>
    </w:p>
    <w:p w14:paraId="3D8ACDA0">
      <w:pPr>
        <w:ind w:firstLine="560" w:firstLineChars="200"/>
        <w:rPr>
          <w:rFonts w:ascii="仿宋" w:hAnsi="仿宋" w:eastAsia="仿宋"/>
          <w:sz w:val="28"/>
          <w:szCs w:val="28"/>
        </w:rPr>
      </w:pPr>
      <w:r>
        <w:rPr>
          <w:rFonts w:hint="eastAsia" w:ascii="仿宋" w:hAnsi="仿宋" w:eastAsia="仿宋"/>
          <w:sz w:val="28"/>
          <w:szCs w:val="28"/>
        </w:rPr>
        <w:t>希望财政充分考虑我支队经费紧张，加大拨付力度，保障支队的日常经费与项目资金能正常支付。</w:t>
      </w:r>
    </w:p>
    <w:p w14:paraId="0F5AC10D">
      <w:pPr>
        <w:autoSpaceDE w:val="0"/>
        <w:autoSpaceDN w:val="0"/>
        <w:ind w:firstLine="562" w:firstLineChars="200"/>
        <w:rPr>
          <w:rFonts w:ascii="仿宋" w:hAnsi="仿宋" w:eastAsia="仿宋" w:cstheme="minorEastAsia"/>
          <w:b/>
          <w:sz w:val="28"/>
          <w:szCs w:val="28"/>
          <w:lang w:val="zh-CN"/>
        </w:rPr>
      </w:pPr>
      <w:r>
        <w:rPr>
          <w:rFonts w:hint="eastAsia" w:ascii="仿宋" w:hAnsi="仿宋" w:eastAsia="仿宋" w:cstheme="minorEastAsia"/>
          <w:b/>
          <w:sz w:val="28"/>
          <w:szCs w:val="28"/>
          <w:lang w:val="zh-CN"/>
        </w:rPr>
        <w:t>七、部门整体支出绩效评价结果</w:t>
      </w:r>
    </w:p>
    <w:p w14:paraId="32301058">
      <w:pPr>
        <w:pStyle w:val="10"/>
        <w:widowControl w:val="0"/>
        <w:ind w:firstLine="560" w:firstLineChars="200"/>
        <w:rPr>
          <w:rFonts w:ascii="Times New Roman" w:hAnsi="Times New Roman"/>
          <w:szCs w:val="32"/>
        </w:rPr>
      </w:pPr>
      <w:r>
        <w:rPr>
          <w:rFonts w:hint="eastAsia" w:ascii="仿宋" w:hAnsi="仿宋" w:eastAsia="仿宋"/>
          <w:kern w:val="2"/>
          <w:sz w:val="28"/>
          <w:szCs w:val="28"/>
        </w:rPr>
        <w:t>通过本次自评分析，我支队在2023年度预算执行过程中严谨规范，项目产出效果明显，很好地达到了预期的绩效目标，按部门整体支出绩效评价指标体系统一标准，自评综合得分为98分，自评结论为优秀。本次</w:t>
      </w:r>
      <w:r>
        <w:rPr>
          <w:rFonts w:hint="eastAsia" w:ascii="仿宋" w:hAnsi="仿宋" w:eastAsia="仿宋"/>
          <w:kern w:val="2"/>
          <w:sz w:val="28"/>
          <w:szCs w:val="28"/>
          <w:lang w:val="zh-CN"/>
        </w:rPr>
        <w:t>绩效评价结果已在门户网站上公示。</w:t>
      </w:r>
    </w:p>
    <w:p w14:paraId="6F5D8D10">
      <w:pPr>
        <w:widowControl/>
        <w:spacing w:line="560" w:lineRule="exact"/>
        <w:ind w:firstLine="640" w:firstLineChars="200"/>
        <w:rPr>
          <w:rFonts w:ascii="黑体" w:hAnsi="黑体" w:eastAsia="黑体"/>
          <w:szCs w:val="32"/>
        </w:rPr>
      </w:pPr>
      <w:r>
        <w:rPr>
          <w:rFonts w:hint="eastAsia" w:ascii="黑体" w:hAnsi="黑体" w:eastAsia="黑体"/>
          <w:szCs w:val="32"/>
        </w:rPr>
        <w:t>八、其他事项说明</w:t>
      </w:r>
    </w:p>
    <w:p w14:paraId="0E1B9FAB">
      <w:pPr>
        <w:pStyle w:val="2"/>
      </w:pPr>
      <w:r>
        <w:rPr>
          <w:rFonts w:hint="eastAsia"/>
        </w:rPr>
        <w:t xml:space="preserve">    2023年度</w:t>
      </w:r>
      <w:r>
        <w:rPr>
          <w:rFonts w:hint="eastAsia" w:ascii="仿宋" w:hAnsi="仿宋" w:eastAsia="仿宋"/>
          <w:sz w:val="28"/>
          <w:szCs w:val="28"/>
        </w:rPr>
        <w:t>我支队</w:t>
      </w:r>
      <w:r>
        <w:rPr>
          <w:rFonts w:hint="eastAsia" w:ascii="仿宋" w:hAnsi="仿宋" w:eastAsia="仿宋"/>
          <w:color w:val="000000"/>
          <w:szCs w:val="32"/>
        </w:rPr>
        <w:t>无政府性基金预算支出，无国有资本经营预算支出，无社会保险基金预算支出。</w:t>
      </w:r>
    </w:p>
    <w:p w14:paraId="2B66EEE8">
      <w:pPr>
        <w:pStyle w:val="2"/>
        <w:ind w:firstLine="4800" w:firstLineChars="1500"/>
        <w:rPr>
          <w:rFonts w:ascii="仿宋_GB2312" w:hAnsi="仿宋"/>
          <w:szCs w:val="32"/>
        </w:rPr>
      </w:pPr>
    </w:p>
    <w:p w14:paraId="6D7EDCEE">
      <w:pPr>
        <w:pStyle w:val="2"/>
        <w:ind w:firstLine="4800" w:firstLineChars="1500"/>
        <w:rPr>
          <w:rFonts w:ascii="仿宋_GB2312" w:hAnsi="仿宋"/>
          <w:szCs w:val="32"/>
        </w:rPr>
      </w:pPr>
    </w:p>
    <w:p w14:paraId="48A2ADA5">
      <w:pPr>
        <w:pStyle w:val="2"/>
        <w:ind w:firstLine="4800" w:firstLineChars="1500"/>
        <w:rPr>
          <w:rFonts w:ascii="仿宋_GB2312" w:hAnsi="仿宋"/>
          <w:szCs w:val="32"/>
        </w:rPr>
      </w:pPr>
    </w:p>
    <w:p w14:paraId="7FE4175D">
      <w:pPr>
        <w:pStyle w:val="2"/>
        <w:ind w:firstLine="4800" w:firstLineChars="1500"/>
        <w:rPr>
          <w:rFonts w:ascii="仿宋_GB2312" w:hAnsi="仿宋"/>
          <w:szCs w:val="32"/>
        </w:rPr>
      </w:pPr>
    </w:p>
    <w:p w14:paraId="090DF446">
      <w:pPr>
        <w:pStyle w:val="2"/>
        <w:ind w:firstLine="4800" w:firstLineChars="1500"/>
        <w:rPr>
          <w:rFonts w:ascii="仿宋_GB2312" w:hAnsi="仿宋"/>
          <w:szCs w:val="32"/>
        </w:rPr>
      </w:pPr>
    </w:p>
    <w:p w14:paraId="6D6A2CAE">
      <w:pPr>
        <w:pStyle w:val="2"/>
        <w:ind w:firstLine="4160" w:firstLineChars="1300"/>
        <w:rPr>
          <w:rFonts w:ascii="仿宋_GB2312" w:hAnsi="仿宋"/>
          <w:szCs w:val="32"/>
        </w:rPr>
      </w:pPr>
      <w:r>
        <w:rPr>
          <w:rFonts w:hint="eastAsia" w:ascii="仿宋_GB2312" w:hAnsi="仿宋"/>
          <w:szCs w:val="32"/>
        </w:rPr>
        <w:t>益阳市公安局交通警察支队</w:t>
      </w:r>
    </w:p>
    <w:p w14:paraId="75C7F2DD">
      <w:pPr>
        <w:pStyle w:val="2"/>
        <w:ind w:firstLine="5120" w:firstLineChars="1600"/>
        <w:rPr>
          <w:rFonts w:ascii="仿宋_GB2312" w:hAnsi="仿宋"/>
          <w:szCs w:val="32"/>
        </w:rPr>
      </w:pPr>
      <w:r>
        <w:rPr>
          <w:rFonts w:hint="eastAsia" w:ascii="仿宋_GB2312" w:hAnsi="仿宋"/>
          <w:szCs w:val="32"/>
        </w:rPr>
        <w:t>2024年5月20日</w:t>
      </w:r>
    </w:p>
    <w:p w14:paraId="7F81D8C1">
      <w:pPr>
        <w:pStyle w:val="2"/>
        <w:ind w:firstLine="5120" w:firstLineChars="1600"/>
        <w:rPr>
          <w:rFonts w:ascii="仿宋_GB2312" w:hAnsi="仿宋"/>
          <w:szCs w:val="32"/>
        </w:rPr>
      </w:pPr>
    </w:p>
    <w:p w14:paraId="1CA1F094">
      <w:pPr>
        <w:pStyle w:val="2"/>
        <w:ind w:firstLine="5120" w:firstLineChars="1600"/>
        <w:rPr>
          <w:rFonts w:ascii="仿宋_GB2312" w:hAnsi="仿宋"/>
          <w:szCs w:val="32"/>
        </w:rPr>
      </w:pPr>
    </w:p>
    <w:p w14:paraId="2C198834">
      <w:pPr>
        <w:pStyle w:val="2"/>
        <w:ind w:firstLine="5120" w:firstLineChars="1600"/>
        <w:rPr>
          <w:rFonts w:ascii="仿宋_GB2312" w:hAnsi="仿宋"/>
          <w:szCs w:val="32"/>
        </w:rPr>
      </w:pPr>
    </w:p>
    <w:p w14:paraId="6A8B0D45">
      <w:pPr>
        <w:pStyle w:val="2"/>
        <w:ind w:firstLine="5120" w:firstLineChars="1600"/>
        <w:rPr>
          <w:rFonts w:ascii="仿宋_GB2312" w:hAnsi="仿宋"/>
          <w:szCs w:val="32"/>
        </w:rPr>
      </w:pPr>
    </w:p>
    <w:p w14:paraId="31278944">
      <w:pPr>
        <w:spacing w:line="600" w:lineRule="exact"/>
        <w:rPr>
          <w:rFonts w:ascii="仿宋_GB2312" w:hAnsi="仿宋"/>
          <w:szCs w:val="32"/>
        </w:rPr>
      </w:pPr>
    </w:p>
    <w:p w14:paraId="7CB46E4F">
      <w:pPr>
        <w:spacing w:line="600" w:lineRule="exact"/>
        <w:rPr>
          <w:rFonts w:ascii="仿宋_GB2312" w:hAnsi="仿宋"/>
          <w:szCs w:val="32"/>
        </w:rPr>
      </w:pPr>
    </w:p>
    <w:p w14:paraId="2FD8C7C9">
      <w:pPr>
        <w:spacing w:line="600" w:lineRule="exact"/>
        <w:rPr>
          <w:rFonts w:ascii="仿宋_GB2312" w:hAnsi="仿宋"/>
          <w:szCs w:val="32"/>
        </w:rPr>
      </w:pPr>
    </w:p>
    <w:p w14:paraId="48D61A26">
      <w:pPr>
        <w:widowControl/>
        <w:spacing w:line="500" w:lineRule="exact"/>
        <w:jc w:val="left"/>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8E3706-9EAE-446B-B3D4-C98EE4F05D6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620E9B4-ED3A-4E31-9097-8F8EF1F2467E}"/>
  </w:font>
  <w:font w:name="仿宋_GB2312">
    <w:altName w:val="仿宋"/>
    <w:panose1 w:val="00000000000000000000"/>
    <w:charset w:val="86"/>
    <w:family w:val="auto"/>
    <w:pitch w:val="default"/>
    <w:sig w:usb0="00000000" w:usb1="00000000" w:usb2="00000000" w:usb3="00000000" w:csb0="00040000" w:csb1="00000000"/>
    <w:embedRegular r:id="rId3" w:fontKey="{6F4D754B-A78D-4C90-BD4B-D1041FAAE1D2}"/>
  </w:font>
  <w:font w:name="仿宋">
    <w:panose1 w:val="02010609060101010101"/>
    <w:charset w:val="86"/>
    <w:family w:val="modern"/>
    <w:pitch w:val="default"/>
    <w:sig w:usb0="800002BF" w:usb1="38CF7CFA" w:usb2="00000016" w:usb3="00000000" w:csb0="00040001" w:csb1="00000000"/>
    <w:embedRegular r:id="rId4" w:fontKey="{52F58971-7817-4E3B-9272-583FC839CEE4}"/>
  </w:font>
  <w:font w:name="方正小标宋简体">
    <w:panose1 w:val="02000000000000000000"/>
    <w:charset w:val="86"/>
    <w:family w:val="auto"/>
    <w:pitch w:val="default"/>
    <w:sig w:usb0="00000001" w:usb1="08000000" w:usb2="00000000" w:usb3="00000000" w:csb0="00040000" w:csb1="00000000"/>
    <w:embedRegular r:id="rId5" w:fontKey="{5AD49D3D-4395-40B7-96D2-1D6B06AC8D2B}"/>
  </w:font>
  <w:font w:name="Cambria Math">
    <w:panose1 w:val="02040503050406030204"/>
    <w:charset w:val="00"/>
    <w:family w:val="roman"/>
    <w:pitch w:val="default"/>
    <w:sig w:usb0="E00002FF" w:usb1="420024FF" w:usb2="00000000" w:usb3="00000000" w:csb0="2000019F" w:csb1="00000000"/>
    <w:embedRegular r:id="rId6" w:fontKey="{6890B429-CAF4-4F38-AF92-A4103543C549}"/>
  </w:font>
  <w:font w:name="楷体">
    <w:panose1 w:val="02010609060101010101"/>
    <w:charset w:val="86"/>
    <w:family w:val="modern"/>
    <w:pitch w:val="default"/>
    <w:sig w:usb0="800002BF" w:usb1="38CF7CFA" w:usb2="00000016" w:usb3="00000000" w:csb0="00040001" w:csb1="00000000"/>
    <w:embedRegular r:id="rId7" w:fontKey="{F9857A59-E011-48F1-A718-67550FFF93B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3B92C"/>
    <w:multiLevelType w:val="singleLevel"/>
    <w:tmpl w:val="97E3B92C"/>
    <w:lvl w:ilvl="0" w:tentative="0">
      <w:start w:val="1"/>
      <w:numFmt w:val="chineseCounting"/>
      <w:suff w:val="nothing"/>
      <w:lvlText w:val="（%1）"/>
      <w:lvlJc w:val="left"/>
      <w:rPr>
        <w:rFonts w:hint="eastAsia"/>
      </w:rPr>
    </w:lvl>
  </w:abstractNum>
  <w:abstractNum w:abstractNumId="1">
    <w:nsid w:val="CE416C88"/>
    <w:multiLevelType w:val="singleLevel"/>
    <w:tmpl w:val="CE416C88"/>
    <w:lvl w:ilvl="0" w:tentative="0">
      <w:start w:val="4"/>
      <w:numFmt w:val="chineseCounting"/>
      <w:suff w:val="nothing"/>
      <w:lvlText w:val="（%1）"/>
      <w:lvlJc w:val="left"/>
      <w:rPr>
        <w:rFonts w:hint="eastAsia"/>
      </w:rPr>
    </w:lvl>
  </w:abstractNum>
  <w:abstractNum w:abstractNumId="2">
    <w:nsid w:val="282965F9"/>
    <w:multiLevelType w:val="multilevel"/>
    <w:tmpl w:val="282965F9"/>
    <w:lvl w:ilvl="0" w:tentative="0">
      <w:start w:val="1"/>
      <w:numFmt w:val="decimal"/>
      <w:lvlText w:val="%1、"/>
      <w:lvlJc w:val="left"/>
      <w:pPr>
        <w:ind w:left="1280" w:hanging="720"/>
      </w:pPr>
      <w:rPr>
        <w:rFonts w:hint="default" w:ascii="仿宋" w:hAnsi="仿宋" w:eastAsia="仿宋"/>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jgyZGRkNzNiMmUyYjY2M2QxZTllZWVkNDZkYWQifQ=="/>
  </w:docVars>
  <w:rsids>
    <w:rsidRoot w:val="1D2963BC"/>
    <w:rsid w:val="000516C6"/>
    <w:rsid w:val="000633FD"/>
    <w:rsid w:val="00064F12"/>
    <w:rsid w:val="000E2F21"/>
    <w:rsid w:val="00103887"/>
    <w:rsid w:val="00110E4C"/>
    <w:rsid w:val="00123784"/>
    <w:rsid w:val="00130DFA"/>
    <w:rsid w:val="00164F6D"/>
    <w:rsid w:val="001C62AF"/>
    <w:rsid w:val="00226A66"/>
    <w:rsid w:val="00233242"/>
    <w:rsid w:val="002855AF"/>
    <w:rsid w:val="002E229C"/>
    <w:rsid w:val="002E7059"/>
    <w:rsid w:val="00306423"/>
    <w:rsid w:val="00316B98"/>
    <w:rsid w:val="003718A8"/>
    <w:rsid w:val="003F225E"/>
    <w:rsid w:val="004219A7"/>
    <w:rsid w:val="00450D5A"/>
    <w:rsid w:val="004929C1"/>
    <w:rsid w:val="004A5408"/>
    <w:rsid w:val="00554294"/>
    <w:rsid w:val="005A7D17"/>
    <w:rsid w:val="005C247C"/>
    <w:rsid w:val="005F0746"/>
    <w:rsid w:val="00672D3C"/>
    <w:rsid w:val="00676FE1"/>
    <w:rsid w:val="006D5548"/>
    <w:rsid w:val="00703A14"/>
    <w:rsid w:val="0073182B"/>
    <w:rsid w:val="007B5742"/>
    <w:rsid w:val="007B79B6"/>
    <w:rsid w:val="007C0CE3"/>
    <w:rsid w:val="007C24AB"/>
    <w:rsid w:val="00800F45"/>
    <w:rsid w:val="0085098E"/>
    <w:rsid w:val="00890347"/>
    <w:rsid w:val="008F75F6"/>
    <w:rsid w:val="009239C3"/>
    <w:rsid w:val="00972629"/>
    <w:rsid w:val="009D2E50"/>
    <w:rsid w:val="009F5343"/>
    <w:rsid w:val="00A11470"/>
    <w:rsid w:val="00A95690"/>
    <w:rsid w:val="00AF742D"/>
    <w:rsid w:val="00B1072F"/>
    <w:rsid w:val="00B745EB"/>
    <w:rsid w:val="00C005E4"/>
    <w:rsid w:val="00D05CEE"/>
    <w:rsid w:val="00D10820"/>
    <w:rsid w:val="00D40F6D"/>
    <w:rsid w:val="00D42684"/>
    <w:rsid w:val="00D86446"/>
    <w:rsid w:val="00E61CCE"/>
    <w:rsid w:val="00EF6C75"/>
    <w:rsid w:val="00F75931"/>
    <w:rsid w:val="00FD0E79"/>
    <w:rsid w:val="021C004E"/>
    <w:rsid w:val="02A07091"/>
    <w:rsid w:val="1D2963BC"/>
    <w:rsid w:val="31904E78"/>
    <w:rsid w:val="34F94FBF"/>
    <w:rsid w:val="3D7143AC"/>
    <w:rsid w:val="420C4684"/>
    <w:rsid w:val="426A69DF"/>
    <w:rsid w:val="63D26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Body Text"/>
    <w:basedOn w:val="1"/>
    <w:semiHidden/>
    <w:qFormat/>
    <w:uiPriority w:val="0"/>
    <w:rPr>
      <w:rFonts w:ascii="宋体" w:hAnsi="宋体" w:eastAsia="宋体" w:cs="宋体"/>
      <w:sz w:val="28"/>
      <w:szCs w:val="28"/>
      <w:lang w:val="en-US" w:eastAsia="en-US"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
    <w:name w:val="custom_unionsty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
    <w:name w:val="p0"/>
    <w:basedOn w:val="1"/>
    <w:qFormat/>
    <w:uiPriority w:val="0"/>
    <w:pPr>
      <w:widowControl/>
    </w:pPr>
    <w:rPr>
      <w:kern w:val="0"/>
      <w:szCs w:val="21"/>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7284</Words>
  <Characters>8340</Characters>
  <Lines>66</Lines>
  <Paragraphs>18</Paragraphs>
  <TotalTime>13</TotalTime>
  <ScaleCrop>false</ScaleCrop>
  <LinksUpToDate>false</LinksUpToDate>
  <CharactersWithSpaces>8369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2024-05-19T08:13:00Z</dcterms:created>
  <dc:creator>admin</dc:creator>
  <cp:lastModifiedBy>启子</cp:lastModifiedBy>
  <cp:lastPrinted>2024-11-19T03:45:00Z</cp:lastPrinted>
  <dcterms:modified xsi:type="dcterms:W3CDTF">2024-11-19T09:00:42Z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272DE72B01FA466BA4252D32968193DB_13</vt:lpwstr>
  </property>
</Properties>
</file>