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1EE62">
      <w:pPr>
        <w:spacing w:line="700" w:lineRule="exact"/>
        <w:jc w:val="center"/>
        <w:rPr>
          <w:rFonts w:ascii="方正小标宋简体" w:hAnsi="仿宋" w:eastAsia="方正小标宋简体"/>
          <w:sz w:val="36"/>
          <w:szCs w:val="36"/>
        </w:rPr>
      </w:pPr>
    </w:p>
    <w:p w14:paraId="46F590A2">
      <w:pPr>
        <w:spacing w:line="700" w:lineRule="exact"/>
        <w:jc w:val="center"/>
        <w:rPr>
          <w:rFonts w:ascii="方正小标宋简体" w:hAnsi="仿宋" w:eastAsia="方正小标宋简体"/>
          <w:sz w:val="36"/>
          <w:szCs w:val="36"/>
        </w:rPr>
      </w:pPr>
      <w:r>
        <w:rPr>
          <w:rFonts w:hint="eastAsia" w:ascii="方正小标宋简体" w:hAnsi="仿宋" w:eastAsia="方正小标宋简体"/>
          <w:sz w:val="36"/>
          <w:szCs w:val="36"/>
        </w:rPr>
        <w:t>2023年度益阳市公安局交通警察支队</w:t>
      </w:r>
    </w:p>
    <w:p w14:paraId="730A996A">
      <w:pPr>
        <w:spacing w:line="700" w:lineRule="exact"/>
        <w:jc w:val="center"/>
        <w:rPr>
          <w:rFonts w:ascii="方正小标宋简体" w:hAnsi="仿宋" w:eastAsia="方正小标宋简体"/>
          <w:sz w:val="36"/>
          <w:szCs w:val="36"/>
        </w:rPr>
      </w:pPr>
      <w:r>
        <w:rPr>
          <w:rFonts w:hint="eastAsia" w:ascii="方正小标宋简体" w:hAnsi="仿宋" w:eastAsia="方正小标宋简体"/>
          <w:sz w:val="36"/>
          <w:szCs w:val="36"/>
        </w:rPr>
        <w:t>办案费及装备费资金绩效自评报告</w:t>
      </w:r>
    </w:p>
    <w:p w14:paraId="30AB633B">
      <w:pPr>
        <w:spacing w:line="560" w:lineRule="exact"/>
        <w:rPr>
          <w:rFonts w:ascii="仿宋" w:hAnsi="仿宋" w:eastAsia="仿宋"/>
          <w:sz w:val="28"/>
          <w:szCs w:val="28"/>
        </w:rPr>
      </w:pPr>
    </w:p>
    <w:p w14:paraId="5DC7A645">
      <w:pPr>
        <w:pStyle w:val="2"/>
      </w:pPr>
      <w:bookmarkStart w:id="0" w:name="_GoBack"/>
      <w:bookmarkEnd w:id="0"/>
    </w:p>
    <w:p w14:paraId="019CC1AD">
      <w:pPr>
        <w:pStyle w:val="2"/>
      </w:pPr>
    </w:p>
    <w:p w14:paraId="5B5CCEB0">
      <w:pPr>
        <w:spacing w:line="560" w:lineRule="exact"/>
        <w:rPr>
          <w:rFonts w:ascii="仿宋" w:hAnsi="仿宋" w:eastAsia="仿宋"/>
          <w:sz w:val="28"/>
          <w:szCs w:val="28"/>
        </w:rPr>
      </w:pPr>
      <w:r>
        <w:rPr>
          <w:rFonts w:hint="eastAsia" w:ascii="仿宋" w:hAnsi="仿宋" w:eastAsia="仿宋"/>
          <w:sz w:val="28"/>
          <w:szCs w:val="28"/>
        </w:rPr>
        <w:t>益阳市财政局：</w:t>
      </w:r>
    </w:p>
    <w:p w14:paraId="78856B8F">
      <w:pPr>
        <w:spacing w:line="560" w:lineRule="exact"/>
        <w:ind w:firstLine="560" w:firstLineChars="200"/>
        <w:rPr>
          <w:rFonts w:ascii="仿宋" w:hAnsi="仿宋" w:eastAsia="仿宋"/>
          <w:sz w:val="28"/>
          <w:szCs w:val="28"/>
        </w:rPr>
      </w:pPr>
      <w:r>
        <w:rPr>
          <w:rFonts w:hint="eastAsia" w:ascii="仿宋" w:hAnsi="仿宋" w:eastAsia="仿宋"/>
          <w:sz w:val="28"/>
          <w:szCs w:val="28"/>
        </w:rPr>
        <w:t>深入贯彻落实《中共中央国务院关于全面实施预算绩效管理的意见》（中发〔2018〕34号）文件精神及《益阳市财政局关于开展2023年度部门绩效自评工作的通知》文件的规定和要求，益阳市公安局交通警察支队成立了办案费及装备费资金项目绩效评价领导工作组，对2023年办案费及装备费资金项目进行了自我评价，具体情况报告如下：</w:t>
      </w:r>
    </w:p>
    <w:p w14:paraId="1C8792A9">
      <w:pPr>
        <w:spacing w:line="520" w:lineRule="exact"/>
        <w:ind w:firstLine="562" w:firstLineChars="200"/>
        <w:rPr>
          <w:rFonts w:ascii="仿宋" w:hAnsi="仿宋" w:eastAsia="仿宋"/>
          <w:b/>
          <w:sz w:val="28"/>
          <w:szCs w:val="28"/>
        </w:rPr>
      </w:pPr>
      <w:r>
        <w:rPr>
          <w:rFonts w:hint="eastAsia" w:ascii="仿宋" w:hAnsi="仿宋" w:eastAsia="仿宋"/>
          <w:b/>
          <w:sz w:val="28"/>
          <w:szCs w:val="28"/>
        </w:rPr>
        <w:t>一、基本情况</w:t>
      </w:r>
    </w:p>
    <w:p w14:paraId="01A399C0">
      <w:pPr>
        <w:pStyle w:val="7"/>
        <w:widowControl w:val="0"/>
        <w:spacing w:line="520" w:lineRule="exact"/>
        <w:ind w:firstLine="515"/>
        <w:jc w:val="left"/>
        <w:rPr>
          <w:rFonts w:ascii="仿宋" w:hAnsi="仿宋" w:eastAsia="仿宋" w:cs="Times New Roman"/>
          <w:kern w:val="2"/>
          <w:sz w:val="28"/>
          <w:szCs w:val="28"/>
        </w:rPr>
      </w:pPr>
      <w:r>
        <w:rPr>
          <w:rFonts w:hint="eastAsia" w:ascii="仿宋" w:hAnsi="仿宋" w:eastAsia="仿宋" w:cs="Times New Roman"/>
          <w:kern w:val="2"/>
          <w:sz w:val="28"/>
          <w:szCs w:val="28"/>
        </w:rPr>
        <w:t>（一）项目简概</w:t>
      </w:r>
    </w:p>
    <w:p w14:paraId="69248833">
      <w:pPr>
        <w:pStyle w:val="7"/>
        <w:widowControl w:val="0"/>
        <w:spacing w:line="520" w:lineRule="exact"/>
        <w:ind w:firstLine="515"/>
        <w:jc w:val="left"/>
        <w:rPr>
          <w:rFonts w:hint="eastAsia" w:ascii="仿宋" w:hAnsi="仿宋" w:eastAsia="仿宋"/>
          <w:sz w:val="28"/>
          <w:szCs w:val="28"/>
        </w:rPr>
      </w:pPr>
      <w:r>
        <w:rPr>
          <w:rFonts w:hint="eastAsia" w:ascii="仿宋" w:hAnsi="仿宋" w:eastAsia="仿宋" w:cs="Times New Roman"/>
          <w:kern w:val="2"/>
          <w:sz w:val="28"/>
          <w:szCs w:val="28"/>
        </w:rPr>
        <w:t>为认真贯彻落实</w:t>
      </w:r>
      <w:r>
        <w:rPr>
          <w:rFonts w:hint="eastAsia" w:ascii="仿宋" w:hAnsi="仿宋" w:eastAsia="仿宋" w:cs="Times New Roman"/>
          <w:kern w:val="2"/>
          <w:sz w:val="28"/>
          <w:szCs w:val="28"/>
          <w:lang w:eastAsia="zh-CN"/>
        </w:rPr>
        <w:t>文件</w:t>
      </w:r>
      <w:r>
        <w:rPr>
          <w:rFonts w:hint="eastAsia" w:ascii="仿宋" w:hAnsi="仿宋" w:eastAsia="仿宋" w:cs="Times New Roman"/>
          <w:kern w:val="2"/>
          <w:sz w:val="28"/>
          <w:szCs w:val="28"/>
        </w:rPr>
        <w:t>精神，充分发挥交通管理职能，创交通模范城市</w:t>
      </w:r>
      <w:r>
        <w:rPr>
          <w:rFonts w:hint="eastAsia" w:ascii="仿宋" w:hAnsi="仿宋" w:eastAsia="仿宋"/>
          <w:sz w:val="28"/>
          <w:szCs w:val="28"/>
        </w:rPr>
        <w:t>，加强交警执法力度与水平，进一步提高交警执法质量和执法效率，2023年财政预算安排办案费及装备费资金484.25万元，专项用于办案（业务）费、业务装备费。</w:t>
      </w:r>
    </w:p>
    <w:p w14:paraId="6906B83F">
      <w:pPr>
        <w:numPr>
          <w:ilvl w:val="0"/>
          <w:numId w:val="1"/>
        </w:numPr>
        <w:spacing w:line="520" w:lineRule="exact"/>
        <w:ind w:firstLine="560" w:firstLineChars="200"/>
        <w:rPr>
          <w:rFonts w:ascii="仿宋" w:hAnsi="仿宋" w:eastAsia="仿宋"/>
          <w:sz w:val="28"/>
          <w:szCs w:val="28"/>
        </w:rPr>
      </w:pPr>
      <w:r>
        <w:rPr>
          <w:rFonts w:hint="eastAsia" w:ascii="仿宋" w:hAnsi="仿宋" w:eastAsia="仿宋"/>
          <w:sz w:val="28"/>
          <w:szCs w:val="28"/>
        </w:rPr>
        <w:t>绩效目标设定及指标完成情况。</w:t>
      </w:r>
    </w:p>
    <w:p w14:paraId="54B56464">
      <w:pPr>
        <w:spacing w:line="520" w:lineRule="exact"/>
        <w:ind w:firstLine="560" w:firstLineChars="200"/>
        <w:rPr>
          <w:rFonts w:ascii="仿宋" w:hAnsi="仿宋" w:eastAsia="仿宋"/>
          <w:sz w:val="28"/>
          <w:szCs w:val="28"/>
        </w:rPr>
      </w:pPr>
      <w:r>
        <w:rPr>
          <w:rFonts w:hint="eastAsia" w:ascii="仿宋" w:hAnsi="仿宋" w:eastAsia="仿宋"/>
          <w:sz w:val="28"/>
          <w:szCs w:val="28"/>
        </w:rPr>
        <w:t>2023年办案费及装备费资金项目绩效目标为：通过实施本资金项目，专款专用以弥补办案费及装备费不足，不断提高执法办案工作条件及工作效率，力争达到考核要求，最大限度减少道路交通事故，全力预防重特大道路交通事故，确保辖区道路交通安全形势稳定，确保公安交警队伍持续健康发展，为我市经济社会发展创造安全畅通的道路交通环境。具体指标完成情况如下：</w:t>
      </w:r>
    </w:p>
    <w:p w14:paraId="4A678260">
      <w:pPr>
        <w:spacing w:line="520" w:lineRule="exact"/>
        <w:ind w:firstLine="560" w:firstLineChars="200"/>
        <w:rPr>
          <w:rFonts w:ascii="仿宋" w:hAnsi="仿宋" w:eastAsia="仿宋"/>
          <w:sz w:val="28"/>
          <w:szCs w:val="28"/>
        </w:rPr>
      </w:pPr>
      <w:r>
        <w:rPr>
          <w:rFonts w:hint="eastAsia" w:ascii="仿宋" w:hAnsi="仿宋" w:eastAsia="仿宋"/>
          <w:sz w:val="28"/>
          <w:szCs w:val="28"/>
        </w:rPr>
        <w:t>2023年，全市公安交警部门在市委、市政府和市公安局党委的坚强领导下，紧紧围绕“坚决杜绝重特大交通事故，坚决遏制较大交通事故”总目标，以交通问题顽瘴痼疾集中整治为抓手，全面实施减量控大“六大攻坚行动”，深入开展政法队伍教育整顿活动，有力确保了全市交通安全形势和公安交警队伍稳中向好。根据市委、市政府和上级公安机关统一部署安排，开展了一系列交通执法专项活动，如：“冬春攻势”“集中攻坚”“夏季行动”“冬季攻势”“春运”期间农村交通秩序联合整治行动等，为消除道路交通安全隐患及保障人民群众生命、财产安全作出了突出贡献。</w:t>
      </w:r>
    </w:p>
    <w:p w14:paraId="74065D51">
      <w:pPr>
        <w:spacing w:line="520" w:lineRule="exact"/>
        <w:ind w:firstLine="562" w:firstLineChars="200"/>
        <w:rPr>
          <w:rFonts w:ascii="仿宋" w:hAnsi="仿宋" w:eastAsia="仿宋"/>
          <w:b/>
          <w:sz w:val="28"/>
          <w:szCs w:val="28"/>
        </w:rPr>
      </w:pPr>
      <w:r>
        <w:rPr>
          <w:rFonts w:hint="eastAsia" w:ascii="仿宋" w:hAnsi="仿宋" w:eastAsia="仿宋"/>
          <w:b/>
          <w:sz w:val="28"/>
          <w:szCs w:val="28"/>
        </w:rPr>
        <w:t>二、绩效评价工作情况</w:t>
      </w:r>
    </w:p>
    <w:p w14:paraId="4DA50361">
      <w:pPr>
        <w:spacing w:line="520" w:lineRule="exact"/>
        <w:ind w:firstLine="560" w:firstLineChars="200"/>
        <w:rPr>
          <w:rFonts w:ascii="仿宋" w:hAnsi="仿宋" w:eastAsia="仿宋"/>
          <w:sz w:val="28"/>
          <w:szCs w:val="28"/>
        </w:rPr>
      </w:pPr>
      <w:r>
        <w:rPr>
          <w:rFonts w:hint="eastAsia" w:ascii="仿宋" w:hAnsi="仿宋" w:eastAsia="仿宋"/>
          <w:sz w:val="28"/>
          <w:szCs w:val="28"/>
        </w:rPr>
        <w:t>（一）绩效评价目的。</w:t>
      </w:r>
    </w:p>
    <w:p w14:paraId="72B2F06A">
      <w:pPr>
        <w:spacing w:line="520" w:lineRule="exact"/>
        <w:ind w:firstLine="560" w:firstLineChars="200"/>
        <w:rPr>
          <w:rFonts w:ascii="仿宋" w:hAnsi="仿宋" w:eastAsia="仿宋"/>
          <w:sz w:val="28"/>
          <w:szCs w:val="28"/>
        </w:rPr>
      </w:pPr>
      <w:r>
        <w:rPr>
          <w:rFonts w:hint="eastAsia" w:ascii="仿宋" w:hAnsi="仿宋" w:eastAsia="仿宋"/>
          <w:sz w:val="28"/>
          <w:szCs w:val="28"/>
        </w:rPr>
        <w:t>通过绩效评价掌握交警支队部门2023年办案费及装备费资金项目支出情况，从单位投入、过程管理、单位整体履职情况、单位整体履职效益情况等方面</w:t>
      </w:r>
      <w:r>
        <w:rPr>
          <w:rFonts w:hint="eastAsia" w:ascii="仿宋" w:hAnsi="仿宋" w:eastAsia="仿宋" w:cs="仿宋"/>
          <w:sz w:val="28"/>
          <w:szCs w:val="28"/>
        </w:rPr>
        <w:t>了解支队专项资金使用情况及取得的效果，总结资金管理的经验，发现资金管理中存在的问题，为提高支队专项资金的使用效益，加强财政支出的规范化管理，健全和完善支出项目和资金使用管理办法，完善预算编制，加强绩效目标管理和绩效考核工作提供重要的参考依据，以及提出相关的建议和应采取的改正措施等。</w:t>
      </w:r>
      <w:r>
        <w:rPr>
          <w:rFonts w:hint="eastAsia" w:ascii="仿宋" w:hAnsi="仿宋" w:eastAsia="仿宋"/>
          <w:sz w:val="28"/>
          <w:szCs w:val="28"/>
        </w:rPr>
        <w:t>及时处理各类道路交通违法行为，有效地维护道路交通的秩序与稳定，保障域内公路、道路的运输安全，确保人民群众的出行安全。</w:t>
      </w:r>
    </w:p>
    <w:p w14:paraId="7EAE3040">
      <w:pPr>
        <w:spacing w:line="520" w:lineRule="exact"/>
        <w:ind w:firstLine="560" w:firstLineChars="200"/>
        <w:rPr>
          <w:rFonts w:ascii="仿宋" w:hAnsi="仿宋" w:eastAsia="仿宋"/>
          <w:sz w:val="28"/>
          <w:szCs w:val="28"/>
        </w:rPr>
      </w:pPr>
      <w:r>
        <w:rPr>
          <w:rFonts w:hint="eastAsia" w:ascii="仿宋" w:hAnsi="仿宋" w:eastAsia="仿宋"/>
          <w:sz w:val="28"/>
          <w:szCs w:val="28"/>
        </w:rPr>
        <w:t>（二）项目资金</w:t>
      </w:r>
    </w:p>
    <w:p w14:paraId="626DCB16">
      <w:pPr>
        <w:spacing w:line="520" w:lineRule="exact"/>
        <w:ind w:firstLine="560" w:firstLineChars="200"/>
        <w:rPr>
          <w:rFonts w:ascii="仿宋" w:hAnsi="仿宋" w:eastAsia="仿宋"/>
          <w:color w:val="0000FF"/>
          <w:sz w:val="28"/>
          <w:szCs w:val="28"/>
        </w:rPr>
      </w:pPr>
      <w:r>
        <w:rPr>
          <w:rFonts w:hint="eastAsia" w:ascii="仿宋" w:hAnsi="仿宋" w:eastAsia="仿宋"/>
          <w:sz w:val="28"/>
          <w:szCs w:val="28"/>
        </w:rPr>
        <w:t>2023年年初预算资金484.25元，专项用于益阳市公安局交警支队办案费及装备费资金项目。财政安排到位资金662.25万元，实际支付资金662.25万元，支付情况如下:</w:t>
      </w:r>
    </w:p>
    <w:tbl>
      <w:tblPr>
        <w:tblStyle w:val="5"/>
        <w:tblW w:w="8203" w:type="dxa"/>
        <w:tblInd w:w="0" w:type="dxa"/>
        <w:tblLayout w:type="fixed"/>
        <w:tblCellMar>
          <w:top w:w="0" w:type="dxa"/>
          <w:left w:w="0" w:type="dxa"/>
          <w:bottom w:w="0" w:type="dxa"/>
          <w:right w:w="0" w:type="dxa"/>
        </w:tblCellMar>
      </w:tblPr>
      <w:tblGrid>
        <w:gridCol w:w="614"/>
        <w:gridCol w:w="1486"/>
        <w:gridCol w:w="4495"/>
        <w:gridCol w:w="1608"/>
      </w:tblGrid>
      <w:tr w14:paraId="6303D59B">
        <w:trPr>
          <w:trHeight w:val="474" w:hRule="atLeast"/>
        </w:trPr>
        <w:tc>
          <w:tcPr>
            <w:tcW w:w="614" w:type="dxa"/>
            <w:tcBorders>
              <w:top w:val="single" w:color="auto" w:sz="4" w:space="0"/>
              <w:left w:val="single" w:color="auto" w:sz="4" w:space="0"/>
              <w:bottom w:val="nil"/>
              <w:right w:val="nil"/>
            </w:tcBorders>
            <w:noWrap/>
            <w:tcMar>
              <w:top w:w="12" w:type="dxa"/>
              <w:left w:w="12" w:type="dxa"/>
              <w:right w:w="12" w:type="dxa"/>
            </w:tcMar>
            <w:vAlign w:val="center"/>
          </w:tcPr>
          <w:p w14:paraId="20A33567">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序号</w:t>
            </w:r>
          </w:p>
        </w:tc>
        <w:tc>
          <w:tcPr>
            <w:tcW w:w="1486" w:type="dxa"/>
            <w:tcBorders>
              <w:top w:val="single" w:color="auto" w:sz="4" w:space="0"/>
              <w:left w:val="single" w:color="000000" w:sz="4" w:space="0"/>
              <w:bottom w:val="single" w:color="000000" w:sz="4" w:space="0"/>
              <w:right w:val="single" w:color="auto" w:sz="4" w:space="0"/>
            </w:tcBorders>
            <w:noWrap/>
            <w:tcMar>
              <w:top w:w="12" w:type="dxa"/>
              <w:left w:w="12" w:type="dxa"/>
              <w:right w:w="12" w:type="dxa"/>
            </w:tcMar>
            <w:vAlign w:val="center"/>
          </w:tcPr>
          <w:p w14:paraId="18D0A1E6">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明细</w:t>
            </w:r>
          </w:p>
        </w:tc>
        <w:tc>
          <w:tcPr>
            <w:tcW w:w="449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11CBCED5">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内容</w:t>
            </w:r>
          </w:p>
        </w:tc>
        <w:tc>
          <w:tcPr>
            <w:tcW w:w="160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DC21A73">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金额（万元）</w:t>
            </w:r>
          </w:p>
        </w:tc>
      </w:tr>
      <w:tr w14:paraId="339E4EEF">
        <w:tblPrEx>
          <w:tblCellMar>
            <w:top w:w="0" w:type="dxa"/>
            <w:left w:w="0" w:type="dxa"/>
            <w:bottom w:w="0" w:type="dxa"/>
            <w:right w:w="0" w:type="dxa"/>
          </w:tblCellMar>
        </w:tblPrEx>
        <w:trPr>
          <w:trHeight w:val="610" w:hRule="atLeast"/>
        </w:trPr>
        <w:tc>
          <w:tcPr>
            <w:tcW w:w="614" w:type="dxa"/>
            <w:tcBorders>
              <w:top w:val="single" w:color="000000" w:sz="4" w:space="0"/>
              <w:left w:val="single" w:color="auto" w:sz="4" w:space="0"/>
              <w:bottom w:val="single" w:color="auto" w:sz="4" w:space="0"/>
              <w:right w:val="single" w:color="000000" w:sz="4" w:space="0"/>
            </w:tcBorders>
            <w:noWrap/>
            <w:tcMar>
              <w:top w:w="12" w:type="dxa"/>
              <w:left w:w="12" w:type="dxa"/>
              <w:right w:w="12" w:type="dxa"/>
            </w:tcMar>
            <w:vAlign w:val="center"/>
          </w:tcPr>
          <w:p w14:paraId="2C36D2C9">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1</w:t>
            </w:r>
          </w:p>
        </w:tc>
        <w:tc>
          <w:tcPr>
            <w:tcW w:w="1486" w:type="dxa"/>
            <w:tcBorders>
              <w:top w:val="single" w:color="000000" w:sz="4" w:space="0"/>
              <w:left w:val="single" w:color="000000" w:sz="4" w:space="0"/>
              <w:bottom w:val="single" w:color="auto" w:sz="4" w:space="0"/>
              <w:right w:val="single" w:color="auto" w:sz="4" w:space="0"/>
            </w:tcBorders>
            <w:noWrap/>
            <w:tcMar>
              <w:top w:w="12" w:type="dxa"/>
              <w:left w:w="12" w:type="dxa"/>
              <w:right w:w="12" w:type="dxa"/>
            </w:tcMar>
            <w:vAlign w:val="center"/>
          </w:tcPr>
          <w:p w14:paraId="1E42A9FE">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办案费</w:t>
            </w:r>
          </w:p>
        </w:tc>
        <w:tc>
          <w:tcPr>
            <w:tcW w:w="449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3992627B">
            <w:pPr>
              <w:widowControl/>
              <w:jc w:val="left"/>
              <w:textAlignment w:val="center"/>
              <w:rPr>
                <w:rFonts w:hint="eastAsia" w:ascii="仿宋" w:hAnsi="仿宋" w:eastAsia="仿宋" w:cs="宋体"/>
                <w:sz w:val="22"/>
                <w:szCs w:val="22"/>
                <w:lang w:eastAsia="zh-CN"/>
              </w:rPr>
            </w:pPr>
            <w:r>
              <w:rPr>
                <w:rFonts w:hint="eastAsia" w:ascii="仿宋" w:hAnsi="仿宋" w:eastAsia="仿宋" w:cs="宋体"/>
                <w:kern w:val="0"/>
                <w:sz w:val="22"/>
                <w:szCs w:val="22"/>
              </w:rPr>
              <w:t>主要涉及</w:t>
            </w:r>
            <w:r>
              <w:rPr>
                <w:rFonts w:hint="eastAsia" w:ascii="仿宋" w:hAnsi="仿宋" w:eastAsia="仿宋"/>
                <w:sz w:val="22"/>
                <w:szCs w:val="22"/>
              </w:rPr>
              <w:t>停车保管费、司法鉴定费、印刷费、以及购置服务器和</w:t>
            </w:r>
            <w:r>
              <w:rPr>
                <w:rFonts w:hint="eastAsia" w:ascii="仿宋" w:hAnsi="仿宋" w:eastAsia="仿宋"/>
                <w:sz w:val="22"/>
                <w:szCs w:val="22"/>
                <w:lang w:eastAsia="zh-CN"/>
              </w:rPr>
              <w:t>警用装备</w:t>
            </w:r>
          </w:p>
        </w:tc>
        <w:tc>
          <w:tcPr>
            <w:tcW w:w="160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07B605">
            <w:pPr>
              <w:widowControl/>
              <w:jc w:val="right"/>
              <w:textAlignment w:val="center"/>
              <w:rPr>
                <w:rFonts w:ascii="仿宋" w:hAnsi="仿宋" w:eastAsia="仿宋" w:cs="宋体"/>
                <w:sz w:val="22"/>
                <w:szCs w:val="22"/>
              </w:rPr>
            </w:pPr>
            <w:r>
              <w:rPr>
                <w:rFonts w:hint="eastAsia" w:ascii="仿宋" w:hAnsi="仿宋" w:eastAsia="仿宋" w:cs="宋体"/>
                <w:sz w:val="22"/>
                <w:szCs w:val="22"/>
              </w:rPr>
              <w:t>520.12</w:t>
            </w:r>
          </w:p>
        </w:tc>
      </w:tr>
      <w:tr w14:paraId="0AB0338D">
        <w:tblPrEx>
          <w:tblCellMar>
            <w:top w:w="0" w:type="dxa"/>
            <w:left w:w="0" w:type="dxa"/>
            <w:bottom w:w="0" w:type="dxa"/>
            <w:right w:w="0" w:type="dxa"/>
          </w:tblCellMar>
        </w:tblPrEx>
        <w:trPr>
          <w:trHeight w:val="542" w:hRule="atLeast"/>
        </w:trPr>
        <w:tc>
          <w:tcPr>
            <w:tcW w:w="6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3A982C">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2</w:t>
            </w:r>
          </w:p>
        </w:tc>
        <w:tc>
          <w:tcPr>
            <w:tcW w:w="148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3BC4E3A">
            <w:pPr>
              <w:widowControl/>
              <w:jc w:val="center"/>
              <w:textAlignment w:val="center"/>
              <w:rPr>
                <w:rFonts w:ascii="仿宋" w:hAnsi="仿宋" w:eastAsia="仿宋" w:cs="宋体"/>
                <w:sz w:val="22"/>
                <w:szCs w:val="22"/>
              </w:rPr>
            </w:pPr>
            <w:r>
              <w:rPr>
                <w:rFonts w:hint="eastAsia" w:ascii="仿宋" w:hAnsi="仿宋" w:eastAsia="仿宋" w:cs="宋体"/>
                <w:kern w:val="0"/>
                <w:sz w:val="22"/>
                <w:szCs w:val="22"/>
              </w:rPr>
              <w:t>装备费</w:t>
            </w:r>
          </w:p>
        </w:tc>
        <w:tc>
          <w:tcPr>
            <w:tcW w:w="44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03BB48">
            <w:pPr>
              <w:widowControl/>
              <w:jc w:val="left"/>
              <w:textAlignment w:val="center"/>
              <w:rPr>
                <w:rFonts w:ascii="仿宋" w:hAnsi="仿宋" w:eastAsia="仿宋" w:cs="宋体"/>
                <w:sz w:val="22"/>
                <w:szCs w:val="22"/>
              </w:rPr>
            </w:pPr>
            <w:r>
              <w:rPr>
                <w:rFonts w:hint="eastAsia" w:ascii="仿宋" w:hAnsi="仿宋" w:eastAsia="仿宋"/>
                <w:sz w:val="22"/>
                <w:szCs w:val="22"/>
              </w:rPr>
              <w:t>主要用于警服、防护靴、反光背心及执勤服等装</w:t>
            </w:r>
            <w:r>
              <w:rPr>
                <w:rFonts w:hint="eastAsia" w:ascii="仿宋" w:hAnsi="仿宋" w:eastAsia="仿宋" w:cs="宋体"/>
                <w:kern w:val="0"/>
                <w:sz w:val="22"/>
                <w:szCs w:val="22"/>
              </w:rPr>
              <w:t>备</w:t>
            </w:r>
            <w:r>
              <w:rPr>
                <w:rFonts w:hint="eastAsia" w:ascii="仿宋" w:hAnsi="仿宋" w:eastAsia="仿宋"/>
                <w:sz w:val="22"/>
                <w:szCs w:val="22"/>
              </w:rPr>
              <w:t>购置；</w:t>
            </w:r>
          </w:p>
        </w:tc>
        <w:tc>
          <w:tcPr>
            <w:tcW w:w="160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EB382DD">
            <w:pPr>
              <w:widowControl/>
              <w:jc w:val="right"/>
              <w:textAlignment w:val="center"/>
              <w:rPr>
                <w:rFonts w:ascii="仿宋" w:hAnsi="仿宋" w:eastAsia="仿宋" w:cs="宋体"/>
                <w:sz w:val="22"/>
                <w:szCs w:val="22"/>
              </w:rPr>
            </w:pPr>
            <w:r>
              <w:rPr>
                <w:rFonts w:hint="eastAsia" w:ascii="仿宋" w:hAnsi="仿宋" w:eastAsia="仿宋" w:cs="宋体"/>
                <w:kern w:val="0"/>
                <w:sz w:val="22"/>
                <w:szCs w:val="22"/>
              </w:rPr>
              <w:t xml:space="preserve">142.13 </w:t>
            </w:r>
          </w:p>
        </w:tc>
      </w:tr>
      <w:tr w14:paraId="179C40C5">
        <w:tblPrEx>
          <w:tblCellMar>
            <w:top w:w="0" w:type="dxa"/>
            <w:left w:w="0" w:type="dxa"/>
            <w:bottom w:w="0" w:type="dxa"/>
            <w:right w:w="0" w:type="dxa"/>
          </w:tblCellMar>
        </w:tblPrEx>
        <w:trPr>
          <w:trHeight w:val="399" w:hRule="atLeast"/>
        </w:trPr>
        <w:tc>
          <w:tcPr>
            <w:tcW w:w="2100"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91E92F">
            <w:pPr>
              <w:jc w:val="center"/>
              <w:rPr>
                <w:rFonts w:ascii="仿宋" w:hAnsi="仿宋" w:eastAsia="仿宋" w:cs="宋体"/>
                <w:sz w:val="22"/>
                <w:szCs w:val="22"/>
              </w:rPr>
            </w:pPr>
            <w:r>
              <w:rPr>
                <w:rFonts w:hint="eastAsia" w:ascii="仿宋" w:hAnsi="仿宋" w:eastAsia="仿宋" w:cs="宋体"/>
                <w:kern w:val="0"/>
                <w:sz w:val="22"/>
                <w:szCs w:val="22"/>
              </w:rPr>
              <w:t>合计</w:t>
            </w:r>
          </w:p>
        </w:tc>
        <w:tc>
          <w:tcPr>
            <w:tcW w:w="44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DC572F">
            <w:pPr>
              <w:rPr>
                <w:rFonts w:ascii="仿宋" w:hAnsi="仿宋" w:eastAsia="仿宋" w:cs="宋体"/>
                <w:sz w:val="22"/>
                <w:szCs w:val="22"/>
              </w:rPr>
            </w:pPr>
          </w:p>
        </w:tc>
        <w:tc>
          <w:tcPr>
            <w:tcW w:w="160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C92463">
            <w:pPr>
              <w:widowControl/>
              <w:jc w:val="right"/>
              <w:textAlignment w:val="center"/>
              <w:rPr>
                <w:rFonts w:ascii="仿宋" w:hAnsi="仿宋" w:eastAsia="仿宋" w:cs="宋体"/>
                <w:sz w:val="22"/>
                <w:szCs w:val="22"/>
              </w:rPr>
            </w:pPr>
            <w:r>
              <w:rPr>
                <w:rFonts w:hint="eastAsia" w:ascii="仿宋" w:hAnsi="仿宋" w:eastAsia="仿宋" w:cs="宋体"/>
                <w:kern w:val="0"/>
                <w:sz w:val="22"/>
                <w:szCs w:val="22"/>
              </w:rPr>
              <w:t xml:space="preserve">662.25 </w:t>
            </w:r>
          </w:p>
        </w:tc>
      </w:tr>
    </w:tbl>
    <w:p w14:paraId="424D0EA4">
      <w:pPr>
        <w:spacing w:line="520" w:lineRule="exact"/>
        <w:ind w:firstLine="560" w:firstLineChars="200"/>
        <w:rPr>
          <w:rFonts w:ascii="仿宋" w:hAnsi="仿宋" w:eastAsia="仿宋"/>
          <w:sz w:val="28"/>
          <w:szCs w:val="28"/>
        </w:rPr>
      </w:pPr>
      <w:r>
        <w:rPr>
          <w:rFonts w:hint="eastAsia" w:ascii="仿宋" w:hAnsi="仿宋" w:eastAsia="仿宋"/>
          <w:sz w:val="28"/>
          <w:szCs w:val="28"/>
        </w:rPr>
        <w:t>以上实施项目与年初绩效目标相符，符合办案费及装备费项目资金使用范围，资金安排合理，对专用设备购置严格按照政府采购程序进行了招投标，对专项资金严格按财政专项资金管理办法和本单位制定的内容制度执行。</w:t>
      </w:r>
    </w:p>
    <w:p w14:paraId="28E059CA">
      <w:pPr>
        <w:spacing w:line="520" w:lineRule="exact"/>
        <w:ind w:firstLine="560" w:firstLineChars="200"/>
        <w:rPr>
          <w:rFonts w:ascii="仿宋" w:hAnsi="仿宋" w:eastAsia="仿宋"/>
          <w:sz w:val="28"/>
          <w:szCs w:val="28"/>
        </w:rPr>
      </w:pPr>
      <w:r>
        <w:rPr>
          <w:rFonts w:hint="eastAsia" w:ascii="仿宋" w:hAnsi="仿宋" w:eastAsia="仿宋"/>
          <w:sz w:val="28"/>
          <w:szCs w:val="28"/>
        </w:rPr>
        <w:t>（三）项目组织情况分析</w:t>
      </w:r>
    </w:p>
    <w:p w14:paraId="19248B94">
      <w:pPr>
        <w:spacing w:line="520" w:lineRule="exact"/>
        <w:ind w:firstLine="560" w:firstLineChars="200"/>
        <w:rPr>
          <w:rFonts w:ascii="仿宋" w:hAnsi="仿宋" w:eastAsia="仿宋"/>
          <w:sz w:val="28"/>
          <w:szCs w:val="28"/>
        </w:rPr>
      </w:pPr>
      <w:r>
        <w:rPr>
          <w:rFonts w:hint="eastAsia" w:ascii="仿宋" w:hAnsi="仿宋" w:eastAsia="仿宋"/>
          <w:sz w:val="28"/>
          <w:szCs w:val="28"/>
        </w:rPr>
        <w:t>支队成立了办案费及装备费项目领导小组，由支队长任组长，各科室负责人为成员。支队明确规定：在执法办案费及装备费项目中由行财科具体负责，先由各大队提出办案经费与购置、更新装备的申请，行财科统一安排、统一采购，各大队验收使用。</w:t>
      </w:r>
    </w:p>
    <w:p w14:paraId="2C4EC2B6">
      <w:pPr>
        <w:spacing w:line="520" w:lineRule="exact"/>
        <w:ind w:firstLine="560" w:firstLineChars="200"/>
        <w:rPr>
          <w:rFonts w:ascii="仿宋" w:hAnsi="仿宋" w:eastAsia="仿宋"/>
          <w:sz w:val="28"/>
          <w:szCs w:val="28"/>
        </w:rPr>
      </w:pPr>
      <w:r>
        <w:rPr>
          <w:rFonts w:hint="eastAsia" w:ascii="仿宋" w:hAnsi="仿宋" w:eastAsia="仿宋"/>
          <w:sz w:val="28"/>
          <w:szCs w:val="28"/>
        </w:rPr>
        <w:t>（四）项目管理情况分析</w:t>
      </w:r>
    </w:p>
    <w:p w14:paraId="48716FEF">
      <w:pPr>
        <w:spacing w:line="520" w:lineRule="exact"/>
        <w:ind w:firstLine="560" w:firstLineChars="200"/>
        <w:rPr>
          <w:rFonts w:ascii="仿宋" w:hAnsi="仿宋" w:eastAsia="仿宋"/>
          <w:sz w:val="28"/>
          <w:szCs w:val="28"/>
        </w:rPr>
      </w:pPr>
      <w:r>
        <w:rPr>
          <w:rFonts w:hint="eastAsia" w:ascii="仿宋" w:hAnsi="仿宋" w:eastAsia="仿宋"/>
          <w:sz w:val="28"/>
          <w:szCs w:val="28"/>
        </w:rPr>
        <w:t>1、制度建设情况：为切实加强和规范本项目的管理，使专项资金的管理进一步规范化、制度化，确保专项资金的安全和完整，充分发挥专项资金的使用效益，支队制定了《项目建设专项资金管理规定》和《益阳市交警支队经费报销会审联签制度》，通过制度明确了资金的使用范围，明确专项资金专款专用，专项资金按项目单独核算，建立专项资金责任追究制度，项目实施科室（大队）负责人为第一责任人，对该项目负主要责任。在制度上有效的规范了办案费及装备费项目资金的使用行为。</w:t>
      </w:r>
    </w:p>
    <w:p w14:paraId="1B072722">
      <w:pPr>
        <w:spacing w:line="520" w:lineRule="exact"/>
        <w:ind w:firstLine="560" w:firstLineChars="200"/>
        <w:rPr>
          <w:rFonts w:ascii="仿宋" w:hAnsi="仿宋" w:eastAsia="仿宋"/>
          <w:sz w:val="28"/>
          <w:szCs w:val="28"/>
        </w:rPr>
      </w:pPr>
      <w:r>
        <w:rPr>
          <w:rFonts w:hint="eastAsia" w:ascii="仿宋" w:hAnsi="仿宋" w:eastAsia="仿宋"/>
          <w:sz w:val="28"/>
          <w:szCs w:val="28"/>
        </w:rPr>
        <w:t>2、财务管理情况：加强转移支付资金管理和监督，规范专项资金使用，提高资金使用效益的最大化。专项资金的分配和使用：专项资金纳入国库集中支付管理，建立符合专项资金特点的财会核算体系，保证专项资金的安全有效使用，专项资金主要用于执法办案支出、执勤装备购置，要求项目资金必须专款专用，资金使用规范、合理，严禁虚报、冒领、截留、挤占、挪用的情况。</w:t>
      </w:r>
    </w:p>
    <w:p w14:paraId="0DC1B899">
      <w:pPr>
        <w:spacing w:line="520" w:lineRule="exact"/>
        <w:ind w:firstLine="560" w:firstLineChars="200"/>
        <w:rPr>
          <w:rFonts w:ascii="仿宋" w:hAnsi="仿宋" w:eastAsia="仿宋"/>
          <w:sz w:val="28"/>
          <w:szCs w:val="28"/>
        </w:rPr>
      </w:pPr>
      <w:r>
        <w:rPr>
          <w:rFonts w:hint="eastAsia" w:ascii="仿宋" w:hAnsi="仿宋" w:eastAsia="仿宋"/>
          <w:sz w:val="28"/>
          <w:szCs w:val="28"/>
        </w:rPr>
        <w:t>3、具体工作措施：为让办案费及装备费资金发挥最大效益，支队实施了以下措施：一、明确行财科具体负责，制定招标、采购方案，统一进行采购，需求科室、大队验收使用。二、依法加强项目监督管理，确保办案费及装备费项目按时、保质完成。三、加强单位财务管理，规范资金使用报销程序，提高资金使用透明度，成立了会审联签小组。会审联签小组由3-5人组成，其成员要有单位领导、中层干部和一般干职工的代表。四、成立建设资金项目绩效评价领导小组，由支队长任组长，各科室、大队负责人为成员，加强业务学习，每年组织开展专项资金绩效考评，考评成绩与项目实施科室挂勾。</w:t>
      </w:r>
    </w:p>
    <w:p w14:paraId="27AD106B">
      <w:pPr>
        <w:spacing w:line="520" w:lineRule="exact"/>
        <w:ind w:firstLine="590" w:firstLineChars="196"/>
        <w:rPr>
          <w:rFonts w:ascii="仿宋" w:hAnsi="仿宋" w:eastAsia="仿宋" w:cs="宋体"/>
          <w:b/>
          <w:bCs/>
          <w:kern w:val="0"/>
          <w:sz w:val="30"/>
          <w:szCs w:val="30"/>
        </w:rPr>
      </w:pPr>
      <w:r>
        <w:rPr>
          <w:rFonts w:hint="eastAsia" w:ascii="仿宋" w:hAnsi="仿宋" w:eastAsia="仿宋" w:cs="宋体"/>
          <w:b/>
          <w:bCs/>
          <w:kern w:val="0"/>
          <w:sz w:val="30"/>
          <w:szCs w:val="30"/>
        </w:rPr>
        <w:t>三、项目绩效情况</w:t>
      </w:r>
    </w:p>
    <w:p w14:paraId="2A54B692">
      <w:pPr>
        <w:spacing w:line="520" w:lineRule="exact"/>
        <w:ind w:firstLine="560" w:firstLineChars="200"/>
        <w:rPr>
          <w:rFonts w:ascii="仿宋" w:hAnsi="仿宋" w:eastAsia="仿宋"/>
          <w:sz w:val="28"/>
          <w:szCs w:val="28"/>
        </w:rPr>
      </w:pPr>
      <w:r>
        <w:rPr>
          <w:rFonts w:hint="eastAsia" w:ascii="仿宋" w:hAnsi="仿宋" w:eastAsia="仿宋"/>
          <w:sz w:val="28"/>
          <w:szCs w:val="28"/>
        </w:rPr>
        <w:t>（一）项目的经济性分析</w:t>
      </w:r>
    </w:p>
    <w:p w14:paraId="0E4ACBD4">
      <w:pPr>
        <w:spacing w:line="520" w:lineRule="exact"/>
        <w:ind w:firstLine="560" w:firstLineChars="200"/>
        <w:rPr>
          <w:rFonts w:ascii="仿宋" w:hAnsi="仿宋" w:eastAsia="仿宋"/>
          <w:sz w:val="28"/>
          <w:szCs w:val="28"/>
        </w:rPr>
      </w:pPr>
      <w:r>
        <w:rPr>
          <w:rFonts w:hint="eastAsia" w:ascii="仿宋" w:hAnsi="仿宋" w:eastAsia="仿宋"/>
          <w:sz w:val="28"/>
          <w:szCs w:val="28"/>
        </w:rPr>
        <w:t>2023年年初预算资金484.25元，财政安排到位资金662.25万元，实际支付资金662.25万元。预算刚性约束，让政府采购、支出审批、合同验收等程序得到有效执行，成本得到有效控制，支出未超预算。</w:t>
      </w:r>
    </w:p>
    <w:p w14:paraId="6A1EFA1F">
      <w:pPr>
        <w:spacing w:line="520" w:lineRule="exact"/>
        <w:ind w:firstLine="560" w:firstLineChars="200"/>
        <w:rPr>
          <w:rFonts w:ascii="仿宋" w:hAnsi="仿宋" w:eastAsia="仿宋"/>
          <w:sz w:val="28"/>
          <w:szCs w:val="28"/>
        </w:rPr>
      </w:pPr>
      <w:r>
        <w:rPr>
          <w:rFonts w:hint="eastAsia" w:ascii="仿宋" w:hAnsi="仿宋" w:eastAsia="仿宋"/>
          <w:sz w:val="28"/>
          <w:szCs w:val="28"/>
        </w:rPr>
        <w:t>（二）项目的效率性分析</w:t>
      </w:r>
    </w:p>
    <w:p w14:paraId="68A3E873">
      <w:pPr>
        <w:spacing w:line="520" w:lineRule="exact"/>
        <w:ind w:firstLine="560" w:firstLineChars="200"/>
        <w:rPr>
          <w:rFonts w:ascii="仿宋" w:hAnsi="仿宋" w:eastAsia="仿宋"/>
          <w:sz w:val="28"/>
          <w:szCs w:val="28"/>
        </w:rPr>
      </w:pPr>
      <w:r>
        <w:rPr>
          <w:rFonts w:hint="eastAsia" w:ascii="仿宋" w:hAnsi="仿宋" w:eastAsia="仿宋"/>
          <w:sz w:val="28"/>
          <w:szCs w:val="28"/>
        </w:rPr>
        <w:t>1、项目实施进度：该项目财政资金到位后，已按进度全部支付完毕；</w:t>
      </w:r>
    </w:p>
    <w:p w14:paraId="01B9D404">
      <w:pPr>
        <w:spacing w:line="520" w:lineRule="exact"/>
        <w:ind w:firstLine="560" w:firstLineChars="200"/>
        <w:rPr>
          <w:rFonts w:ascii="仿宋" w:hAnsi="仿宋" w:eastAsia="仿宋"/>
          <w:sz w:val="28"/>
          <w:szCs w:val="28"/>
        </w:rPr>
      </w:pPr>
      <w:r>
        <w:rPr>
          <w:rFonts w:hint="eastAsia" w:ascii="仿宋" w:hAnsi="仿宋" w:eastAsia="仿宋"/>
          <w:sz w:val="28"/>
          <w:szCs w:val="28"/>
        </w:rPr>
        <w:t>2、项目完成质量：根据项目工作计划安排、工作进度及项目验收成果，该项目已按质按量完成。</w:t>
      </w:r>
    </w:p>
    <w:p w14:paraId="30D24F55">
      <w:pPr>
        <w:numPr>
          <w:ilvl w:val="0"/>
          <w:numId w:val="2"/>
        </w:numPr>
        <w:spacing w:line="520" w:lineRule="exact"/>
        <w:ind w:firstLine="560" w:firstLineChars="200"/>
        <w:rPr>
          <w:rFonts w:ascii="仿宋" w:hAnsi="仿宋" w:eastAsia="仿宋"/>
          <w:sz w:val="28"/>
          <w:szCs w:val="28"/>
        </w:rPr>
      </w:pPr>
      <w:r>
        <w:rPr>
          <w:rFonts w:hint="eastAsia" w:ascii="仿宋" w:hAnsi="仿宋" w:eastAsia="仿宋"/>
          <w:sz w:val="28"/>
          <w:szCs w:val="28"/>
        </w:rPr>
        <w:t>项目的有效性分析</w:t>
      </w:r>
    </w:p>
    <w:p w14:paraId="641DF9AF">
      <w:pPr>
        <w:spacing w:line="520" w:lineRule="exact"/>
        <w:ind w:firstLine="560" w:firstLineChars="200"/>
        <w:rPr>
          <w:rFonts w:ascii="仿宋" w:hAnsi="仿宋" w:eastAsia="仿宋"/>
          <w:sz w:val="28"/>
          <w:szCs w:val="28"/>
        </w:rPr>
      </w:pPr>
      <w:r>
        <w:rPr>
          <w:rFonts w:hint="eastAsia" w:ascii="仿宋" w:hAnsi="仿宋" w:eastAsia="仿宋"/>
          <w:sz w:val="28"/>
          <w:szCs w:val="28"/>
        </w:rPr>
        <w:t>通过对2023年度办案费及装备费项目的实施，全力推动道路安全隐患治理，除部、省两级交办的61处隐患点段之外，自主排查国省道安全隐患329处，由市领导亲自部署，向县市区下达隐患治理通知单。截至9月底，部、省交办隐患和自主排查的国省道隐患全部治理完成。随即启动2200余公里县乡道的安全隐患排查，共排查隐患8515处，截至12月31日，已完成整治 4189 处。先后出台重点车辆及重点驾驶人源头隐患清零“七项措施”“八条措施”,将隐患治理任务层层分解到中队、到民警，发动一切资源、穷尽一切手段，逐车逐人进行排查、联系、督办，重点车辆检验率、报废率、违法处理率全部达到100%，重点驾驶人审验率、换证率分别达到97.58%、99.53%。，头盔佩戴率超过92%，安全带使用率超过95%。全市查处道路交通违法202.88万起，现场查处75.08 万起，其中酒驾醉驾9045 起，不戴头盔 37.9 万起，不系安全带27.2万起，行政拘留857人。支队在全省公安交警系统“夏季行动”中获评先进单位(全省第三)，当前正在开展的“冬季攻势”情况良好，主要数据全省排名靠前。此项目的开展有效地改善了全市交通环境安全，确保了人民群众出行安全，降低了各类交通违法事故的发生及死亡率。2023年全市</w:t>
      </w:r>
      <w:r>
        <w:rPr>
          <w:rFonts w:hint="eastAsia" w:ascii="仿宋" w:hAnsi="仿宋" w:eastAsia="仿宋"/>
          <w:sz w:val="28"/>
          <w:szCs w:val="28"/>
          <w:lang w:eastAsia="zh-CN"/>
        </w:rPr>
        <w:t>共发生</w:t>
      </w:r>
      <w:r>
        <w:rPr>
          <w:rFonts w:hint="eastAsia" w:ascii="仿宋" w:hAnsi="仿宋" w:eastAsia="仿宋"/>
          <w:sz w:val="28"/>
          <w:szCs w:val="28"/>
        </w:rPr>
        <w:t>亡</w:t>
      </w:r>
      <w:r>
        <w:rPr>
          <w:rFonts w:hint="eastAsia" w:ascii="仿宋" w:hAnsi="仿宋" w:eastAsia="仿宋"/>
          <w:sz w:val="28"/>
          <w:szCs w:val="28"/>
          <w:lang w:eastAsia="zh-CN"/>
        </w:rPr>
        <w:t>人交通事故</w:t>
      </w:r>
      <w:r>
        <w:rPr>
          <w:rFonts w:hint="eastAsia" w:ascii="仿宋" w:hAnsi="仿宋" w:eastAsia="仿宋"/>
          <w:sz w:val="28"/>
          <w:szCs w:val="28"/>
          <w:lang w:val="en-US" w:eastAsia="zh-CN"/>
        </w:rPr>
        <w:t>273起</w:t>
      </w:r>
      <w:r>
        <w:rPr>
          <w:rFonts w:hint="eastAsia" w:ascii="仿宋" w:hAnsi="仿宋" w:eastAsia="仿宋"/>
          <w:sz w:val="28"/>
          <w:szCs w:val="28"/>
        </w:rPr>
        <w:t>，</w:t>
      </w:r>
      <w:r>
        <w:rPr>
          <w:rFonts w:hint="eastAsia" w:ascii="仿宋" w:hAnsi="仿宋" w:eastAsia="仿宋"/>
          <w:sz w:val="28"/>
          <w:szCs w:val="28"/>
          <w:lang w:eastAsia="zh-CN"/>
        </w:rPr>
        <w:t>死亡</w:t>
      </w:r>
      <w:r>
        <w:rPr>
          <w:rFonts w:hint="eastAsia" w:ascii="仿宋" w:hAnsi="仿宋" w:eastAsia="仿宋"/>
          <w:sz w:val="28"/>
          <w:szCs w:val="28"/>
          <w:lang w:val="en-US" w:eastAsia="zh-CN"/>
        </w:rPr>
        <w:t>280人</w:t>
      </w:r>
      <w:r>
        <w:rPr>
          <w:rFonts w:hint="eastAsia" w:ascii="仿宋" w:hAnsi="仿宋" w:eastAsia="仿宋"/>
          <w:sz w:val="28"/>
          <w:szCs w:val="28"/>
        </w:rPr>
        <w:t>，相较于2022年分别下降了</w:t>
      </w:r>
      <w:r>
        <w:rPr>
          <w:rFonts w:hint="eastAsia" w:ascii="仿宋" w:hAnsi="仿宋" w:eastAsia="仿宋"/>
          <w:sz w:val="28"/>
          <w:szCs w:val="28"/>
          <w:lang w:val="en-US" w:eastAsia="zh-CN"/>
        </w:rPr>
        <w:t>11.65</w:t>
      </w:r>
      <w:r>
        <w:rPr>
          <w:rFonts w:hint="eastAsia" w:ascii="仿宋" w:hAnsi="仿宋" w:eastAsia="仿宋"/>
          <w:sz w:val="28"/>
          <w:szCs w:val="28"/>
        </w:rPr>
        <w:t>%、</w:t>
      </w:r>
      <w:r>
        <w:rPr>
          <w:rFonts w:hint="eastAsia" w:ascii="仿宋" w:hAnsi="仿宋" w:eastAsia="仿宋"/>
          <w:sz w:val="28"/>
          <w:szCs w:val="28"/>
          <w:lang w:val="en-US" w:eastAsia="zh-CN"/>
        </w:rPr>
        <w:t>11.39</w:t>
      </w:r>
      <w:r>
        <w:rPr>
          <w:rFonts w:hint="eastAsia" w:ascii="仿宋" w:hAnsi="仿宋" w:eastAsia="仿宋"/>
          <w:sz w:val="28"/>
          <w:szCs w:val="28"/>
        </w:rPr>
        <w:t>%。</w:t>
      </w:r>
    </w:p>
    <w:p w14:paraId="5F712EBA">
      <w:pPr>
        <w:numPr>
          <w:ilvl w:val="0"/>
          <w:numId w:val="2"/>
        </w:numPr>
        <w:spacing w:line="520" w:lineRule="exact"/>
        <w:ind w:firstLine="560" w:firstLineChars="200"/>
        <w:rPr>
          <w:rFonts w:ascii="仿宋" w:hAnsi="仿宋" w:eastAsia="仿宋"/>
          <w:sz w:val="28"/>
          <w:szCs w:val="28"/>
        </w:rPr>
      </w:pPr>
      <w:r>
        <w:rPr>
          <w:rFonts w:hint="eastAsia" w:ascii="仿宋" w:hAnsi="仿宋" w:eastAsia="仿宋"/>
          <w:sz w:val="28"/>
          <w:szCs w:val="28"/>
        </w:rPr>
        <w:t>项目的可持续性分析</w:t>
      </w:r>
    </w:p>
    <w:p w14:paraId="47A26DA5">
      <w:pPr>
        <w:ind w:firstLine="560" w:firstLineChars="200"/>
        <w:rPr>
          <w:rFonts w:ascii="仿宋" w:hAnsi="仿宋" w:eastAsia="仿宋"/>
          <w:sz w:val="28"/>
          <w:szCs w:val="28"/>
        </w:rPr>
      </w:pPr>
      <w:r>
        <w:rPr>
          <w:rFonts w:hint="eastAsia" w:ascii="仿宋" w:hAnsi="仿宋" w:eastAsia="仿宋"/>
          <w:sz w:val="28"/>
          <w:szCs w:val="28"/>
        </w:rPr>
        <w:t>支队成立了内部控制领导小组，制定了《益阳市交警支队经费报销会审联签制度》，明确科技科（五大队）负责移动警务通设备与系统的日常维护管理。通过以上管理措施可确保本项目长期持续开展，持续地巩固我市城区道路交通安全管理，有效地确保道路安全畅通有序，服务经济社会发展，减少道路交通事故发生，保障人民生命财产安全。</w:t>
      </w:r>
    </w:p>
    <w:p w14:paraId="765EDB27">
      <w:pPr>
        <w:spacing w:line="520" w:lineRule="exact"/>
        <w:ind w:firstLine="560" w:firstLineChars="200"/>
        <w:rPr>
          <w:rFonts w:ascii="仿宋" w:hAnsi="仿宋" w:eastAsia="仿宋"/>
          <w:sz w:val="28"/>
          <w:szCs w:val="28"/>
        </w:rPr>
      </w:pPr>
      <w:r>
        <w:rPr>
          <w:rFonts w:hint="eastAsia" w:ascii="仿宋" w:hAnsi="仿宋" w:eastAsia="仿宋"/>
          <w:sz w:val="28"/>
          <w:szCs w:val="28"/>
        </w:rPr>
        <w:t>（五）满意度完成指标分析</w:t>
      </w:r>
    </w:p>
    <w:p w14:paraId="5337F4D0">
      <w:pPr>
        <w:spacing w:line="520" w:lineRule="exact"/>
        <w:ind w:firstLine="560" w:firstLineChars="200"/>
        <w:rPr>
          <w:rFonts w:ascii="仿宋" w:hAnsi="仿宋" w:eastAsia="仿宋"/>
          <w:sz w:val="28"/>
          <w:szCs w:val="28"/>
        </w:rPr>
      </w:pPr>
      <w:r>
        <w:rPr>
          <w:rFonts w:hint="eastAsia" w:ascii="仿宋" w:hAnsi="仿宋" w:eastAsia="仿宋"/>
          <w:sz w:val="28"/>
          <w:szCs w:val="28"/>
        </w:rPr>
        <w:t>2023年支队办案费及装备费项目，通过对人民群众的调查问卷及内部单位调查，普遍认为该项目的实施对提高交警办事效率、提升城市交通品位、加强城市管理与社会应急管理具有重要意义，满意度调查结果在95%以上。</w:t>
      </w:r>
    </w:p>
    <w:p w14:paraId="1AAE8415">
      <w:pPr>
        <w:spacing w:line="520" w:lineRule="exact"/>
        <w:ind w:firstLine="590" w:firstLineChars="196"/>
        <w:rPr>
          <w:rFonts w:ascii="仿宋" w:hAnsi="仿宋" w:eastAsia="仿宋" w:cs="宋体"/>
          <w:b/>
          <w:bCs/>
          <w:kern w:val="0"/>
          <w:sz w:val="30"/>
          <w:szCs w:val="30"/>
        </w:rPr>
      </w:pPr>
      <w:r>
        <w:rPr>
          <w:rFonts w:hint="eastAsia" w:ascii="仿宋" w:hAnsi="仿宋" w:eastAsia="仿宋" w:cs="宋体"/>
          <w:b/>
          <w:bCs/>
          <w:kern w:val="0"/>
          <w:sz w:val="30"/>
          <w:szCs w:val="30"/>
        </w:rPr>
        <w:t>四、存在的问题及改进措施</w:t>
      </w:r>
    </w:p>
    <w:p w14:paraId="05DB52CE">
      <w:pPr>
        <w:spacing w:line="520" w:lineRule="exact"/>
        <w:ind w:firstLine="560" w:firstLineChars="200"/>
        <w:rPr>
          <w:rFonts w:ascii="仿宋" w:hAnsi="仿宋" w:eastAsia="仿宋"/>
          <w:sz w:val="28"/>
          <w:szCs w:val="28"/>
        </w:rPr>
      </w:pPr>
      <w:r>
        <w:rPr>
          <w:rFonts w:hint="eastAsia" w:ascii="仿宋" w:hAnsi="仿宋" w:eastAsia="仿宋"/>
          <w:sz w:val="28"/>
          <w:szCs w:val="28"/>
        </w:rPr>
        <w:t>2023年年初预算资金484.25万元，实际支出662.25万元，还是存在执法经费保障不足的问题，加大了交通执法难度。望财政部门加大办案经费投入力度，保障我支队执法办案工作正常开展。</w:t>
      </w:r>
    </w:p>
    <w:p w14:paraId="7CBF5969">
      <w:pPr>
        <w:spacing w:line="520" w:lineRule="exact"/>
        <w:ind w:firstLine="590" w:firstLineChars="196"/>
        <w:rPr>
          <w:rFonts w:ascii="仿宋" w:hAnsi="仿宋" w:eastAsia="仿宋" w:cs="宋体"/>
          <w:b/>
          <w:bCs/>
          <w:kern w:val="0"/>
          <w:sz w:val="30"/>
          <w:szCs w:val="30"/>
        </w:rPr>
      </w:pPr>
      <w:r>
        <w:rPr>
          <w:rFonts w:hint="eastAsia" w:ascii="仿宋" w:hAnsi="仿宋" w:eastAsia="仿宋" w:cs="宋体"/>
          <w:b/>
          <w:bCs/>
          <w:kern w:val="0"/>
          <w:sz w:val="30"/>
          <w:szCs w:val="30"/>
        </w:rPr>
        <w:t>五、其他需要说明的问题</w:t>
      </w:r>
    </w:p>
    <w:p w14:paraId="556D266D">
      <w:pPr>
        <w:pStyle w:val="7"/>
        <w:widowControl w:val="0"/>
        <w:spacing w:line="520" w:lineRule="exact"/>
        <w:ind w:firstLine="640"/>
        <w:rPr>
          <w:rFonts w:ascii="仿宋" w:hAnsi="仿宋" w:eastAsia="仿宋" w:cs="Times New Roman"/>
          <w:kern w:val="2"/>
          <w:sz w:val="28"/>
          <w:szCs w:val="28"/>
        </w:rPr>
      </w:pPr>
      <w:r>
        <w:rPr>
          <w:rFonts w:hint="eastAsia" w:ascii="仿宋" w:hAnsi="仿宋" w:eastAsia="仿宋" w:cs="Times New Roman"/>
          <w:kern w:val="2"/>
          <w:sz w:val="28"/>
          <w:szCs w:val="28"/>
        </w:rPr>
        <w:t>面对道路交通安全工作的新情况、新问题、新挑战，支队需大力提升交通管理科技信息水平，稳步发展智能交通，不断建立和完善道路交通科技信息应用建设，打造以信息为主导的新型警务工作机制，因此需投入大量人力物力资源。而专项经费不足，本部门无力承担，希望财政能加大专项资金投入范围及力度，以保障办案</w:t>
      </w:r>
      <w:r>
        <w:rPr>
          <w:rFonts w:hint="eastAsia" w:ascii="仿宋" w:hAnsi="仿宋" w:eastAsia="仿宋"/>
          <w:sz w:val="28"/>
          <w:szCs w:val="28"/>
        </w:rPr>
        <w:t>经费正常运转，持续巩固我市交通秩序科技管理</w:t>
      </w:r>
      <w:r>
        <w:rPr>
          <w:rFonts w:hint="eastAsia" w:ascii="仿宋" w:hAnsi="仿宋" w:eastAsia="仿宋"/>
          <w:sz w:val="28"/>
          <w:szCs w:val="28"/>
          <w:lang w:eastAsia="zh-CN"/>
        </w:rPr>
        <w:t>水平</w:t>
      </w:r>
      <w:r>
        <w:rPr>
          <w:rFonts w:hint="eastAsia" w:ascii="仿宋" w:hAnsi="仿宋" w:eastAsia="仿宋"/>
          <w:sz w:val="28"/>
          <w:szCs w:val="28"/>
        </w:rPr>
        <w:t>。</w:t>
      </w:r>
    </w:p>
    <w:p w14:paraId="03E826D8">
      <w:pPr>
        <w:spacing w:line="520" w:lineRule="exact"/>
        <w:ind w:firstLine="590" w:firstLineChars="196"/>
        <w:rPr>
          <w:rFonts w:ascii="仿宋" w:hAnsi="仿宋" w:eastAsia="仿宋" w:cs="Arial"/>
          <w:b/>
          <w:bCs/>
          <w:sz w:val="30"/>
          <w:szCs w:val="30"/>
        </w:rPr>
      </w:pPr>
      <w:r>
        <w:rPr>
          <w:rFonts w:hint="eastAsia" w:ascii="仿宋" w:hAnsi="仿宋" w:eastAsia="仿宋" w:cs="宋体"/>
          <w:b/>
          <w:bCs/>
          <w:kern w:val="0"/>
          <w:sz w:val="30"/>
          <w:szCs w:val="30"/>
        </w:rPr>
        <w:t>六、</w:t>
      </w:r>
      <w:r>
        <w:rPr>
          <w:rFonts w:hint="eastAsia" w:ascii="仿宋" w:hAnsi="仿宋" w:eastAsia="仿宋" w:cs="Arial"/>
          <w:b/>
          <w:bCs/>
          <w:sz w:val="30"/>
          <w:szCs w:val="30"/>
        </w:rPr>
        <w:t>综合评价情况及评价结论</w:t>
      </w:r>
    </w:p>
    <w:p w14:paraId="5E2DEB9B">
      <w:pPr>
        <w:pStyle w:val="7"/>
        <w:widowControl w:val="0"/>
        <w:spacing w:line="520" w:lineRule="exact"/>
        <w:ind w:firstLine="640"/>
        <w:rPr>
          <w:rFonts w:ascii="仿宋" w:hAnsi="仿宋" w:eastAsia="仿宋" w:cs="Times New Roman"/>
          <w:kern w:val="2"/>
          <w:sz w:val="28"/>
          <w:szCs w:val="28"/>
          <w:lang w:val="zh-CN"/>
        </w:rPr>
      </w:pPr>
      <w:r>
        <w:rPr>
          <w:rFonts w:hint="eastAsia" w:ascii="仿宋" w:hAnsi="仿宋" w:eastAsia="仿宋" w:cs="Times New Roman"/>
          <w:kern w:val="2"/>
          <w:sz w:val="28"/>
          <w:szCs w:val="28"/>
        </w:rPr>
        <w:t>通过本次自评分析，我们认为2023年交警支队</w:t>
      </w:r>
      <w:r>
        <w:rPr>
          <w:rFonts w:hint="eastAsia" w:ascii="仿宋" w:hAnsi="仿宋" w:eastAsia="仿宋"/>
          <w:sz w:val="28"/>
          <w:szCs w:val="28"/>
        </w:rPr>
        <w:t>办案费及装备费资金</w:t>
      </w:r>
      <w:r>
        <w:rPr>
          <w:rFonts w:hint="eastAsia" w:ascii="仿宋" w:hAnsi="仿宋" w:eastAsia="仿宋" w:cs="Times New Roman"/>
          <w:kern w:val="2"/>
          <w:sz w:val="28"/>
          <w:szCs w:val="28"/>
        </w:rPr>
        <w:t>项目决策上科学合理，实施过程严谨规范，项目产出效果明显，较好地达到了预期的绩效目标，按</w:t>
      </w:r>
      <w:r>
        <w:rPr>
          <w:rFonts w:hint="eastAsia" w:ascii="仿宋" w:hAnsi="仿宋" w:eastAsia="仿宋"/>
          <w:sz w:val="28"/>
          <w:szCs w:val="28"/>
        </w:rPr>
        <w:t>办案费及装备费资金</w:t>
      </w:r>
      <w:r>
        <w:rPr>
          <w:rFonts w:hint="eastAsia" w:ascii="仿宋" w:hAnsi="仿宋" w:eastAsia="仿宋" w:cs="Times New Roman"/>
          <w:kern w:val="2"/>
          <w:sz w:val="28"/>
          <w:szCs w:val="28"/>
        </w:rPr>
        <w:t>项目绩效评价体系统一标准，自评综合得分为100分</w:t>
      </w:r>
      <w:r>
        <w:rPr>
          <w:rFonts w:hint="eastAsia" w:ascii="仿宋_GB2312" w:hAnsi="微软雅黑" w:eastAsia="仿宋_GB2312"/>
          <w:sz w:val="32"/>
          <w:szCs w:val="32"/>
        </w:rPr>
        <w:t>，</w:t>
      </w:r>
      <w:r>
        <w:rPr>
          <w:rFonts w:hint="eastAsia" w:ascii="仿宋_GB2312" w:hAnsi="微软雅黑" w:eastAsia="仿宋_GB2312"/>
          <w:sz w:val="28"/>
          <w:szCs w:val="28"/>
        </w:rPr>
        <w:t>自评结论为优秀</w:t>
      </w:r>
      <w:r>
        <w:rPr>
          <w:rFonts w:hint="eastAsia" w:ascii="仿宋" w:hAnsi="仿宋" w:eastAsia="仿宋" w:cs="Times New Roman"/>
          <w:kern w:val="2"/>
          <w:sz w:val="28"/>
          <w:szCs w:val="28"/>
        </w:rPr>
        <w:t>。本次</w:t>
      </w:r>
      <w:r>
        <w:rPr>
          <w:rFonts w:hint="eastAsia" w:ascii="仿宋" w:hAnsi="仿宋" w:eastAsia="仿宋" w:cs="Times New Roman"/>
          <w:kern w:val="2"/>
          <w:sz w:val="28"/>
          <w:szCs w:val="28"/>
          <w:lang w:val="zh-CN"/>
        </w:rPr>
        <w:t>绩效评价结果已在门户网站上公示。</w:t>
      </w:r>
    </w:p>
    <w:p w14:paraId="46A7A27C">
      <w:pPr>
        <w:pStyle w:val="2"/>
        <w:ind w:firstLine="630" w:firstLineChars="300"/>
        <w:rPr>
          <w:rFonts w:eastAsia="仿宋"/>
        </w:rPr>
      </w:pPr>
    </w:p>
    <w:p w14:paraId="0A379FF7">
      <w:pPr>
        <w:pStyle w:val="2"/>
        <w:rPr>
          <w:rFonts w:ascii="仿宋" w:hAnsi="仿宋" w:eastAsia="仿宋"/>
          <w:kern w:val="0"/>
          <w:sz w:val="28"/>
          <w:szCs w:val="28"/>
        </w:rPr>
      </w:pPr>
    </w:p>
    <w:p w14:paraId="63897257">
      <w:pPr>
        <w:pStyle w:val="2"/>
        <w:ind w:firstLine="840" w:firstLineChars="300"/>
        <w:rPr>
          <w:rFonts w:ascii="仿宋" w:hAnsi="仿宋" w:eastAsia="仿宋"/>
          <w:kern w:val="0"/>
          <w:sz w:val="28"/>
          <w:szCs w:val="28"/>
        </w:rPr>
      </w:pPr>
    </w:p>
    <w:p w14:paraId="4A35ADD5">
      <w:pPr>
        <w:pStyle w:val="2"/>
        <w:ind w:firstLine="4760" w:firstLineChars="1700"/>
        <w:rPr>
          <w:rFonts w:ascii="仿宋" w:hAnsi="仿宋" w:eastAsia="仿宋"/>
          <w:kern w:val="0"/>
          <w:sz w:val="28"/>
          <w:szCs w:val="28"/>
        </w:rPr>
      </w:pPr>
    </w:p>
    <w:p w14:paraId="70CE51B6">
      <w:pPr>
        <w:pStyle w:val="2"/>
        <w:ind w:firstLine="4760" w:firstLineChars="1700"/>
        <w:rPr>
          <w:rFonts w:ascii="仿宋" w:hAnsi="仿宋" w:eastAsia="仿宋"/>
          <w:kern w:val="0"/>
          <w:sz w:val="28"/>
          <w:szCs w:val="28"/>
        </w:rPr>
      </w:pPr>
      <w:r>
        <w:rPr>
          <w:rFonts w:hint="eastAsia" w:ascii="仿宋" w:hAnsi="仿宋" w:eastAsia="仿宋"/>
          <w:kern w:val="0"/>
          <w:sz w:val="28"/>
          <w:szCs w:val="28"/>
        </w:rPr>
        <w:t>益阳市公安局交通警察支队</w:t>
      </w:r>
    </w:p>
    <w:p w14:paraId="0C0B93DA">
      <w:pPr>
        <w:pStyle w:val="2"/>
        <w:ind w:firstLine="5600" w:firstLineChars="2000"/>
        <w:rPr>
          <w:rFonts w:ascii="仿宋" w:hAnsi="仿宋" w:eastAsia="仿宋"/>
          <w:kern w:val="0"/>
          <w:sz w:val="28"/>
          <w:szCs w:val="28"/>
        </w:rPr>
      </w:pPr>
      <w:r>
        <w:rPr>
          <w:rFonts w:hint="eastAsia" w:ascii="仿宋" w:hAnsi="仿宋" w:eastAsia="仿宋"/>
          <w:kern w:val="0"/>
          <w:sz w:val="28"/>
          <w:szCs w:val="28"/>
        </w:rPr>
        <w:t>2024年5月20日</w:t>
      </w:r>
    </w:p>
    <w:p w14:paraId="59CC2472">
      <w:pPr>
        <w:widowControl/>
        <w:spacing w:line="500" w:lineRule="exact"/>
        <w:jc w:val="left"/>
        <w:rPr>
          <w:rFonts w:ascii="仿宋" w:hAnsi="仿宋" w:eastAsia="仿宋" w:cs="宋体"/>
          <w:kern w:val="0"/>
          <w:sz w:val="28"/>
          <w:szCs w:val="28"/>
        </w:rPr>
      </w:pPr>
    </w:p>
    <w:p w14:paraId="269DE972">
      <w:pPr>
        <w:widowControl/>
        <w:spacing w:line="500" w:lineRule="exact"/>
        <w:jc w:val="left"/>
        <w:rPr>
          <w:rFonts w:ascii="仿宋" w:hAnsi="仿宋" w:eastAsia="仿宋" w:cs="宋体"/>
          <w:kern w:val="0"/>
          <w:sz w:val="28"/>
          <w:szCs w:val="28"/>
        </w:rPr>
      </w:pPr>
    </w:p>
    <w:p w14:paraId="59BFF832">
      <w:pPr>
        <w:widowControl/>
        <w:spacing w:line="500" w:lineRule="exact"/>
        <w:jc w:val="left"/>
        <w:rPr>
          <w:rFonts w:ascii="仿宋" w:hAnsi="仿宋" w:eastAsia="仿宋" w:cs="宋体"/>
          <w:kern w:val="0"/>
          <w:sz w:val="28"/>
          <w:szCs w:val="28"/>
        </w:rPr>
      </w:pPr>
    </w:p>
    <w:p w14:paraId="6ECBE1C7">
      <w:pPr>
        <w:widowControl/>
        <w:spacing w:line="500" w:lineRule="exact"/>
        <w:jc w:val="left"/>
        <w:rPr>
          <w:rFonts w:ascii="仿宋" w:hAnsi="仿宋" w:eastAsia="仿宋" w:cs="宋体"/>
          <w:kern w:val="0"/>
          <w:sz w:val="28"/>
          <w:szCs w:val="28"/>
        </w:rPr>
      </w:pPr>
    </w:p>
    <w:p w14:paraId="4A5B8A04">
      <w:pPr>
        <w:widowControl/>
        <w:spacing w:line="500" w:lineRule="exact"/>
        <w:jc w:val="left"/>
        <w:rPr>
          <w:rFonts w:ascii="仿宋" w:hAnsi="仿宋" w:eastAsia="仿宋" w:cs="宋体"/>
          <w:kern w:val="0"/>
          <w:sz w:val="28"/>
          <w:szCs w:val="28"/>
        </w:rPr>
      </w:pPr>
    </w:p>
    <w:p w14:paraId="64F97ADC">
      <w:pPr>
        <w:widowControl/>
        <w:spacing w:line="500" w:lineRule="exact"/>
        <w:jc w:val="left"/>
        <w:rPr>
          <w:rFonts w:ascii="仿宋" w:hAnsi="仿宋" w:eastAsia="仿宋" w:cs="宋体"/>
          <w:kern w:val="0"/>
          <w:sz w:val="28"/>
          <w:szCs w:val="28"/>
        </w:rPr>
      </w:pPr>
    </w:p>
    <w:p w14:paraId="4714BEE6">
      <w:pPr>
        <w:widowControl/>
        <w:spacing w:line="500" w:lineRule="exact"/>
        <w:jc w:val="left"/>
        <w:rPr>
          <w:rFonts w:ascii="仿宋" w:hAnsi="仿宋" w:eastAsia="仿宋" w:cs="宋体"/>
          <w:kern w:val="0"/>
          <w:sz w:val="28"/>
          <w:szCs w:val="28"/>
        </w:rPr>
      </w:pPr>
    </w:p>
    <w:p w14:paraId="782507F2">
      <w:pPr>
        <w:widowControl/>
        <w:spacing w:line="500" w:lineRule="exact"/>
        <w:jc w:val="left"/>
        <w:rPr>
          <w:rFonts w:ascii="仿宋" w:hAnsi="仿宋" w:eastAsia="仿宋" w:cs="宋体"/>
          <w:kern w:val="0"/>
          <w:sz w:val="28"/>
          <w:szCs w:val="28"/>
        </w:rPr>
      </w:pPr>
    </w:p>
    <w:p w14:paraId="15E79B3E">
      <w:pPr>
        <w:widowControl/>
        <w:spacing w:line="500" w:lineRule="exact"/>
        <w:jc w:val="left"/>
        <w:rPr>
          <w:rFonts w:ascii="仿宋" w:hAnsi="仿宋" w:eastAsia="仿宋" w:cs="宋体"/>
          <w:kern w:val="0"/>
          <w:sz w:val="28"/>
          <w:szCs w:val="28"/>
        </w:rPr>
      </w:pPr>
    </w:p>
    <w:p w14:paraId="0924F866">
      <w:pPr>
        <w:widowControl/>
        <w:spacing w:line="500" w:lineRule="exact"/>
        <w:jc w:val="left"/>
        <w:rPr>
          <w:rFonts w:ascii="仿宋" w:hAnsi="仿宋" w:eastAsia="仿宋" w:cs="宋体"/>
          <w:kern w:val="0"/>
          <w:sz w:val="28"/>
          <w:szCs w:val="28"/>
        </w:rPr>
      </w:pPr>
    </w:p>
    <w:p w14:paraId="391E3F50">
      <w:pPr>
        <w:widowControl/>
        <w:spacing w:line="500" w:lineRule="exact"/>
        <w:jc w:val="left"/>
        <w:rPr>
          <w:rFonts w:ascii="仿宋" w:hAnsi="仿宋" w:eastAsia="仿宋" w:cs="宋体"/>
          <w:kern w:val="0"/>
          <w:sz w:val="28"/>
          <w:szCs w:val="28"/>
        </w:rPr>
      </w:pPr>
    </w:p>
    <w:p w14:paraId="57318895">
      <w:pPr>
        <w:widowControl/>
        <w:spacing w:line="500" w:lineRule="exact"/>
        <w:jc w:val="left"/>
        <w:rPr>
          <w:rFonts w:ascii="仿宋" w:hAnsi="仿宋" w:eastAsia="仿宋" w:cs="宋体"/>
          <w:kern w:val="0"/>
          <w:sz w:val="28"/>
          <w:szCs w:val="28"/>
        </w:rPr>
      </w:pPr>
    </w:p>
    <w:p w14:paraId="4D0C28D1">
      <w:pPr>
        <w:widowControl/>
        <w:spacing w:line="500" w:lineRule="exact"/>
        <w:jc w:val="left"/>
        <w:rPr>
          <w:rFonts w:ascii="仿宋" w:hAnsi="仿宋" w:eastAsia="仿宋" w:cs="宋体"/>
          <w:kern w:val="0"/>
          <w:sz w:val="28"/>
          <w:szCs w:val="28"/>
        </w:rPr>
      </w:pPr>
    </w:p>
    <w:p w14:paraId="3D718C28">
      <w:pPr>
        <w:widowControl/>
        <w:spacing w:line="500" w:lineRule="exact"/>
        <w:jc w:val="left"/>
        <w:rPr>
          <w:rFonts w:ascii="仿宋" w:hAnsi="仿宋" w:eastAsia="仿宋" w:cs="宋体"/>
          <w:kern w:val="0"/>
          <w:sz w:val="28"/>
          <w:szCs w:val="28"/>
        </w:rPr>
      </w:pPr>
    </w:p>
    <w:p w14:paraId="07726A60">
      <w:pPr>
        <w:pStyle w:val="2"/>
      </w:pPr>
    </w:p>
    <w:p w14:paraId="2CF27ED5">
      <w:pPr>
        <w:widowControl/>
        <w:spacing w:line="500" w:lineRule="exact"/>
        <w:jc w:val="left"/>
        <w:rPr>
          <w:rFonts w:ascii="仿宋" w:hAnsi="仿宋" w:eastAsia="仿宋" w:cs="宋体"/>
          <w:kern w:val="0"/>
          <w:sz w:val="28"/>
          <w:szCs w:val="28"/>
        </w:rPr>
      </w:pPr>
    </w:p>
    <w:p w14:paraId="764C8CB5">
      <w:pPr>
        <w:widowControl/>
        <w:spacing w:line="500" w:lineRule="exact"/>
        <w:jc w:val="left"/>
        <w:rPr>
          <w:rFonts w:ascii="仿宋" w:hAnsi="仿宋" w:eastAsia="仿宋" w:cs="宋体"/>
          <w:kern w:val="0"/>
          <w:sz w:val="28"/>
          <w:szCs w:val="28"/>
        </w:rPr>
      </w:pPr>
    </w:p>
    <w:p w14:paraId="0A8823FA">
      <w:pPr>
        <w:widowControl/>
        <w:spacing w:line="500" w:lineRule="exact"/>
        <w:jc w:val="left"/>
        <w:rPr>
          <w:rFonts w:ascii="仿宋" w:hAnsi="仿宋" w:eastAsia="仿宋" w:cs="宋体"/>
          <w:kern w:val="0"/>
          <w:sz w:val="28"/>
          <w:szCs w:val="28"/>
        </w:rPr>
      </w:pPr>
    </w:p>
    <w:p w14:paraId="63D7CCF8">
      <w:pPr>
        <w:widowControl/>
        <w:spacing w:line="500" w:lineRule="exact"/>
        <w:jc w:val="left"/>
        <w:rPr>
          <w:rFonts w:ascii="仿宋" w:hAnsi="仿宋" w:eastAsia="仿宋" w:cs="宋体"/>
          <w:kern w:val="0"/>
          <w:sz w:val="28"/>
          <w:szCs w:val="28"/>
        </w:rPr>
      </w:pPr>
    </w:p>
    <w:p w14:paraId="779C8C1F">
      <w:pPr>
        <w:widowControl/>
        <w:spacing w:line="500" w:lineRule="exact"/>
        <w:jc w:val="left"/>
        <w:rPr>
          <w:rFonts w:ascii="仿宋" w:hAnsi="仿宋" w:eastAsia="仿宋" w:cs="宋体"/>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14611DF-0928-4862-916A-51C0518B373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AC5EEC64-A852-4208-824C-92AAFB35378B}"/>
  </w:font>
  <w:font w:name="方正小标宋简体">
    <w:panose1 w:val="02000000000000000000"/>
    <w:charset w:val="86"/>
    <w:family w:val="auto"/>
    <w:pitch w:val="default"/>
    <w:sig w:usb0="00000001" w:usb1="08000000" w:usb2="00000000" w:usb3="00000000" w:csb0="00040000" w:csb1="00000000"/>
    <w:embedRegular r:id="rId3" w:fontKey="{8DBBC335-7EC7-4554-B4B7-ABC2F25680CF}"/>
  </w:font>
  <w:font w:name="仿宋">
    <w:panose1 w:val="02010609060101010101"/>
    <w:charset w:val="86"/>
    <w:family w:val="modern"/>
    <w:pitch w:val="default"/>
    <w:sig w:usb0="800002BF" w:usb1="38CF7CFA" w:usb2="00000016" w:usb3="00000000" w:csb0="00040001" w:csb1="00000000"/>
    <w:embedRegular r:id="rId4" w:fontKey="{D240BAFA-BD99-4C8E-B2A6-8CFE5FB574ED}"/>
  </w:font>
  <w:font w:name="仿宋_GB2312">
    <w:altName w:val="仿宋"/>
    <w:panose1 w:val="00000000000000000000"/>
    <w:charset w:val="86"/>
    <w:family w:val="auto"/>
    <w:pitch w:val="default"/>
    <w:sig w:usb0="00000000" w:usb1="00000000" w:usb2="00000000" w:usb3="00000000" w:csb0="00040000" w:csb1="00000000"/>
    <w:embedRegular r:id="rId5" w:fontKey="{8C3C8313-FFCC-4522-A2AA-638D10C3E851}"/>
  </w:font>
  <w:font w:name="微软雅黑">
    <w:panose1 w:val="020B0503020204020204"/>
    <w:charset w:val="86"/>
    <w:family w:val="swiss"/>
    <w:pitch w:val="default"/>
    <w:sig w:usb0="80000287" w:usb1="280F3C52" w:usb2="00000016" w:usb3="00000000" w:csb0="0004001F" w:csb1="00000000"/>
    <w:embedRegular r:id="rId6" w:fontKey="{6161441F-4FBF-4782-9001-B34090EDD47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6EC0B8"/>
    <w:multiLevelType w:val="singleLevel"/>
    <w:tmpl w:val="C86EC0B8"/>
    <w:lvl w:ilvl="0" w:tentative="0">
      <w:start w:val="3"/>
      <w:numFmt w:val="chineseCounting"/>
      <w:suff w:val="nothing"/>
      <w:lvlText w:val="（%1）"/>
      <w:lvlJc w:val="left"/>
      <w:rPr>
        <w:rFonts w:hint="eastAsia"/>
      </w:rPr>
    </w:lvl>
  </w:abstractNum>
  <w:abstractNum w:abstractNumId="1">
    <w:nsid w:val="69632487"/>
    <w:multiLevelType w:val="singleLevel"/>
    <w:tmpl w:val="6963248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gyZGRkNzNiMmUyYjY2M2QxZTllZWVkNDZkYWQifQ=="/>
  </w:docVars>
  <w:rsids>
    <w:rsidRoot w:val="5926285A"/>
    <w:rsid w:val="0002147B"/>
    <w:rsid w:val="001C5D45"/>
    <w:rsid w:val="002855AF"/>
    <w:rsid w:val="003F292D"/>
    <w:rsid w:val="00542C6C"/>
    <w:rsid w:val="008D509A"/>
    <w:rsid w:val="00A139EA"/>
    <w:rsid w:val="00A520BA"/>
    <w:rsid w:val="00A55D5A"/>
    <w:rsid w:val="00AD545D"/>
    <w:rsid w:val="00E26613"/>
    <w:rsid w:val="00E5537F"/>
    <w:rsid w:val="00F22513"/>
    <w:rsid w:val="1D350228"/>
    <w:rsid w:val="25D93D16"/>
    <w:rsid w:val="436808C1"/>
    <w:rsid w:val="5926285A"/>
    <w:rsid w:val="5B992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Calibri" w:hAnsi="Calibri" w:cs="宋体"/>
      <w:kern w:val="0"/>
      <w:szCs w:val="21"/>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3472</Words>
  <Characters>3656</Characters>
  <Lines>26</Lines>
  <Paragraphs>7</Paragraphs>
  <TotalTime>29</TotalTime>
  <ScaleCrop>false</ScaleCrop>
  <LinksUpToDate>false</LinksUpToDate>
  <CharactersWithSpaces>3664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2024-05-21T06:08:00Z</dcterms:created>
  <dc:creator>admin</dc:creator>
  <cp:lastModifiedBy>鸢尾。</cp:lastModifiedBy>
  <cp:lastPrinted>2024-11-19T01:32:00Z</cp:lastPrinted>
  <dcterms:modified xsi:type="dcterms:W3CDTF">2024-11-19T03:40:42Z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C6B5A21BE75C4ABD8AEF3079951A0D9F_13</vt:lpwstr>
  </property>
</Properties>
</file>